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govcon-giants-podcast-run-of-show"/>
    <w:p>
      <w:pPr>
        <w:pStyle w:val="Heading1"/>
      </w:pPr>
      <w:r>
        <w:t xml:space="preserve">GovCon Giants Podcast — Run-of-Show</w:t>
      </w:r>
    </w:p>
    <w:p>
      <w:pPr>
        <w:pStyle w:val="FirstParagraph"/>
      </w:pPr>
      <w:r>
        <w:rPr>
          <w:b/>
          <w:bCs/>
        </w:rPr>
        <w:t xml:space="preserve">Guest:</w:t>
      </w:r>
      <w:r>
        <w:t xml:space="preserve"> </w:t>
      </w:r>
      <w:r>
        <w:t xml:space="preserve">Isaias</w:t>
      </w:r>
      <w:r>
        <w:t xml:space="preserve"> </w:t>
      </w:r>
      <w:r>
        <w:t xml:space="preserve">“Cy”</w:t>
      </w:r>
      <w:r>
        <w:t xml:space="preserve"> </w:t>
      </w:r>
      <w:r>
        <w:t xml:space="preserve">Alba, IV — Partner, PilieroMazza PLLC</w:t>
      </w:r>
      <w:r>
        <w:t xml:space="preserve"> </w:t>
      </w:r>
      <w:r>
        <w:rPr>
          <w:b/>
          <w:bCs/>
        </w:rPr>
        <w:t xml:space="preserve">Topic:</w:t>
      </w:r>
      <w:r>
        <w:t xml:space="preserve"> </w:t>
      </w:r>
      <w:r>
        <w:t xml:space="preserve">Mergers &amp; Acquisitions in Government Contracting</w:t>
      </w:r>
      <w:r>
        <w:t xml:space="preserve"> </w:t>
      </w:r>
      <w:r>
        <w:rPr>
          <w:b/>
          <w:bCs/>
        </w:rPr>
        <w:t xml:space="preserve">Target Runtime:</w:t>
      </w:r>
      <w:r>
        <w:t xml:space="preserve"> </w:t>
      </w:r>
      <w:r>
        <w:t xml:space="preserve">45–50 minutes</w:t>
      </w:r>
    </w:p>
    <w:p>
      <w:r>
        <w:pict>
          <v:rect style="width:0;height:1.5pt" o:hralign="center" o:hrstd="t" o:hr="t"/>
        </w:pict>
      </w:r>
    </w:p>
    <w:bookmarkStart w:id="9" w:name="guest-bio-reference"/>
    <w:p>
      <w:pPr>
        <w:pStyle w:val="Heading2"/>
      </w:pPr>
      <w:r>
        <w:t xml:space="preserve">Guest Bio (Reference)</w:t>
      </w:r>
    </w:p>
    <w:p>
      <w:pPr>
        <w:pStyle w:val="FirstParagraph"/>
      </w:pPr>
      <w:r>
        <w:t xml:space="preserve">Isaias</w:t>
      </w:r>
      <w:r>
        <w:t xml:space="preserve"> </w:t>
      </w:r>
      <w:r>
        <w:t xml:space="preserve">“Cy”</w:t>
      </w:r>
      <w:r>
        <w:t xml:space="preserve"> </w:t>
      </w:r>
      <w:r>
        <w:t xml:space="preserve">Alba, IV is a partner at PilieroMazza PLLC, advising small and mid-sized government contractors on SBA compliance, teaming and joint ventures, mentor-protégé agreements, bid protests (GAO, COFC, Federal Circuit), SBA size and status protests, OHA appeals, Contract Disputes Act claims, REAs, terminations for convenience, suspensions and debarments, OCI mitigation, FAR/DFARS data rights and IP, ITAR compliance, and govcon-focused M&amp;A (transactions up to ~$100M).</w:t>
      </w:r>
    </w:p>
    <w:p>
      <w:pPr>
        <w:pStyle w:val="BodyText"/>
      </w:pPr>
      <w:r>
        <w:rPr>
          <w:b/>
          <w:bCs/>
        </w:rPr>
        <w:t xml:space="preserve">Experience:</w:t>
      </w:r>
      <w:r>
        <w:t xml:space="preserve"> </w:t>
      </w:r>
      <w:r>
        <w:t xml:space="preserve">Nearly 20 years at PilieroMazza (Partner since Jan 2012). Prior: Saltman &amp; Stevens (now Smith Currie &amp; Hancock). Internships at the U.S. Commodity Futures Trading Commission and U.S. Department of State.</w:t>
      </w:r>
    </w:p>
    <w:p>
      <w:pPr>
        <w:pStyle w:val="BodyText"/>
      </w:pPr>
      <w:r>
        <w:rPr>
          <w:b/>
          <w:bCs/>
        </w:rPr>
        <w:t xml:space="preserve">Education:</w:t>
      </w:r>
      <w:r>
        <w:t xml:space="preserve"> </w:t>
      </w:r>
      <w:r>
        <w:t xml:space="preserve">J.D., cum laude, Catholic University — Columbus School of Law. B.A. Philosophy, Saint Joseph’s University.</w:t>
      </w:r>
    </w:p>
    <w:p>
      <w:pPr>
        <w:pStyle w:val="BodyText"/>
      </w:pPr>
      <w:r>
        <w:rPr>
          <w:b/>
          <w:bCs/>
        </w:rPr>
        <w:t xml:space="preserve">Recognition:</w:t>
      </w:r>
      <w:r>
        <w:t xml:space="preserve"> </w:t>
      </w:r>
      <w:r>
        <w:t xml:space="preserve">Super Lawyers — Government Contracts Law (Rising Star 2013–2019; Super Lawyers 2023, 2025).</w:t>
      </w:r>
    </w:p>
    <w:p>
      <w:r>
        <w:pict>
          <v:rect style="width:0;height:1.5pt" o:hralign="center" o:hrstd="t" o:hr="t"/>
        </w:pict>
      </w:r>
    </w:p>
    <w:bookmarkEnd w:id="9"/>
    <w:bookmarkStart w:id="10" w:name="pre-roll-teaser-optional-cold-open"/>
    <w:p>
      <w:pPr>
        <w:pStyle w:val="Heading2"/>
      </w:pPr>
      <w:r>
        <w:t xml:space="preserve">0:00 – 0:30 | Pre-Roll Teaser (Optional Cold Open)</w:t>
      </w:r>
    </w:p>
    <w:p>
      <w:pPr>
        <w:pStyle w:val="BlockText"/>
      </w:pPr>
      <w:r>
        <w:t xml:space="preserve">“Most contractors think M&amp;A is about valuation. The truth? In govcon, deals are won or lost on compliance, contract structure, and what you do before the LOI. Today’s guest has been in the room for deals up to $100 million — and he’s breaking down what founders, buyers, and sellers need to know. Let’s get into it.”</w:t>
      </w:r>
    </w:p>
    <w:p>
      <w:pPr>
        <w:pStyle w:val="FirstParagraph"/>
      </w:pPr>
      <w:r>
        <w:rPr>
          <w:i/>
          <w:iCs/>
        </w:rPr>
        <w:t xml:space="preserve">(Cue intro music / show open)</w:t>
      </w:r>
    </w:p>
    <w:p>
      <w:r>
        <w:pict>
          <v:rect style="width:0;height:1.5pt" o:hralign="center" o:hrstd="t" o:hr="t"/>
        </w:pict>
      </w:r>
    </w:p>
    <w:bookmarkEnd w:id="10"/>
    <w:bookmarkStart w:id="11" w:name="host-intro-guest-welcome"/>
    <w:p>
      <w:pPr>
        <w:pStyle w:val="Heading2"/>
      </w:pPr>
      <w:r>
        <w:t xml:space="preserve">0:30 – 3:00 | Host Intro + Guest Welcome</w:t>
      </w:r>
    </w:p>
    <w:p>
      <w:pPr>
        <w:pStyle w:val="BlockText"/>
      </w:pPr>
      <w:r>
        <w:t xml:space="preserve">“What’s going on, Giants — welcome back to the show.</w:t>
      </w:r>
    </w:p>
    <w:p>
      <w:pPr>
        <w:pStyle w:val="BlockText"/>
      </w:pPr>
      <w:r>
        <w:t xml:space="preserve">Today’s episode is one I’ve been looking forward to, because we’re getting into a topic most contractors don’t talk about until it’s too late — mergers and acquisitions in government contracting.</w:t>
      </w:r>
    </w:p>
    <w:p>
      <w:pPr>
        <w:pStyle w:val="BlockText"/>
      </w:pPr>
      <w:r>
        <w:t xml:space="preserve">My guest today is</w:t>
      </w:r>
      <w:r>
        <w:t xml:space="preserve"> </w:t>
      </w:r>
      <w:r>
        <w:rPr>
          <w:b/>
          <w:bCs/>
        </w:rPr>
        <w:t xml:space="preserve">Isaias</w:t>
      </w:r>
      <w:r>
        <w:rPr>
          <w:b/>
          <w:bCs/>
        </w:rPr>
        <w:t xml:space="preserve"> </w:t>
      </w:r>
      <w:r>
        <w:rPr>
          <w:b/>
          <w:bCs/>
        </w:rPr>
        <w:t xml:space="preserve">‘Cy’</w:t>
      </w:r>
      <w:r>
        <w:rPr>
          <w:b/>
          <w:bCs/>
        </w:rPr>
        <w:t xml:space="preserve"> </w:t>
      </w:r>
      <w:r>
        <w:rPr>
          <w:b/>
          <w:bCs/>
        </w:rPr>
        <w:t xml:space="preserve">Alba, IV</w:t>
      </w:r>
      <w:r>
        <w:t xml:space="preserve">, partner at</w:t>
      </w:r>
      <w:r>
        <w:t xml:space="preserve"> </w:t>
      </w:r>
      <w:r>
        <w:rPr>
          <w:b/>
          <w:bCs/>
        </w:rPr>
        <w:t xml:space="preserve">PilieroMazza</w:t>
      </w:r>
      <w:r>
        <w:t xml:space="preserve">, one of the most respected firms in the govcon legal space. Cy has spent nearly 20 years helping small and mid-sized federal contractors navigate the stuff that actually makes or breaks a business — SBA compliance, teaming and joint ventures, mentor-protégé deals, bid protests, claims, OCI, data rights, and M&amp;A transactions up to nine figures.</w:t>
      </w:r>
    </w:p>
    <w:p>
      <w:pPr>
        <w:pStyle w:val="BlockText"/>
      </w:pPr>
      <w:r>
        <w:t xml:space="preserve">Before private practice, he got an early look at the federal side of the house through internships at the</w:t>
      </w:r>
      <w:r>
        <w:t xml:space="preserve"> </w:t>
      </w:r>
      <w:r>
        <w:rPr>
          <w:b/>
          <w:bCs/>
        </w:rPr>
        <w:t xml:space="preserve">Commodity Futures Trading Commission</w:t>
      </w:r>
      <w:r>
        <w:t xml:space="preserve"> </w:t>
      </w:r>
      <w:r>
        <w:t xml:space="preserve">and the</w:t>
      </w:r>
      <w:r>
        <w:t xml:space="preserve"> </w:t>
      </w:r>
      <w:r>
        <w:rPr>
          <w:b/>
          <w:bCs/>
        </w:rPr>
        <w:t xml:space="preserve">U.S. Department of State</w:t>
      </w:r>
      <w:r>
        <w:t xml:space="preserve">. He earned his law degree, cum laude, from</w:t>
      </w:r>
      <w:r>
        <w:t xml:space="preserve"> </w:t>
      </w:r>
      <w:r>
        <w:rPr>
          <w:b/>
          <w:bCs/>
        </w:rPr>
        <w:t xml:space="preserve">Catholic University’s Columbus School of Law</w:t>
      </w:r>
      <w:r>
        <w:t xml:space="preserve">, and he’s been recognized by Super Lawyers in Government Contracts Law — multiple years running.</w:t>
      </w:r>
    </w:p>
    <w:p>
      <w:pPr>
        <w:pStyle w:val="BlockText"/>
      </w:pPr>
      <w:r>
        <w:t xml:space="preserve">So if you’re a contractor thinking about buying a company, selling your company, or just trying to grow without stepping on a compliance landmine, this episode is for you.</w:t>
      </w:r>
    </w:p>
    <w:p>
      <w:pPr>
        <w:pStyle w:val="BlockText"/>
      </w:pPr>
      <w:r>
        <w:t xml:space="preserve">Cy, welcome to GovCon Giants — glad to have you, my man.”</w:t>
      </w:r>
    </w:p>
    <w:p>
      <w:r>
        <w:pict>
          <v:rect style="width:0;height:1.5pt" o:hralign="center" o:hrstd="t" o:hr="t"/>
        </w:pict>
      </w:r>
    </w:p>
    <w:bookmarkEnd w:id="11"/>
    <w:bookmarkStart w:id="12" w:name="warm-up-human-side"/>
    <w:p>
      <w:pPr>
        <w:pStyle w:val="Heading2"/>
      </w:pPr>
      <w:r>
        <w:t xml:space="preserve">3:00 – 6:00 | Warm-Up / Human Side</w:t>
      </w:r>
    </w:p>
    <w:p>
      <w:pPr>
        <w:pStyle w:val="FirstParagraph"/>
      </w:pPr>
      <w:r>
        <w:rPr>
          <w:b/>
          <w:bCs/>
        </w:rPr>
        <w:t xml:space="preserve">Goal:</w:t>
      </w:r>
      <w:r>
        <w:t xml:space="preserve"> </w:t>
      </w:r>
      <w:r>
        <w:t xml:space="preserve">Let the audience hear the human before the lawyer.</w:t>
      </w:r>
    </w:p>
    <w:p>
      <w:pPr>
        <w:pStyle w:val="Compact"/>
        <w:numPr>
          <w:ilvl w:val="0"/>
          <w:numId w:val="1001"/>
        </w:numPr>
      </w:pPr>
      <w:r>
        <w:t xml:space="preserve">How did you end up focused on government contracts law specifically? Not the most obvious path out of law school.</w:t>
      </w:r>
    </w:p>
    <w:p>
      <w:pPr>
        <w:pStyle w:val="Compact"/>
        <w:numPr>
          <w:ilvl w:val="0"/>
          <w:numId w:val="1001"/>
        </w:numPr>
      </w:pPr>
      <w:r>
        <w:t xml:space="preserve">You’ve been at PilieroMazza almost 20 years. What keeps you in this space?</w:t>
      </w:r>
    </w:p>
    <w:p>
      <w:pPr>
        <w:pStyle w:val="Compact"/>
        <w:numPr>
          <w:ilvl w:val="0"/>
          <w:numId w:val="1001"/>
        </w:numPr>
      </w:pPr>
      <w:r>
        <w:t xml:space="preserve">What kinds of clients do you typically work with day to day?</w:t>
      </w:r>
    </w:p>
    <w:p>
      <w:pPr>
        <w:pStyle w:val="FirstParagraph"/>
      </w:pPr>
      <w:r>
        <w:rPr>
          <w:b/>
          <w:bCs/>
        </w:rPr>
        <w:t xml:space="preserve">Transition:</w:t>
      </w:r>
      <w:r>
        <w:t xml:space="preserve"> </w:t>
      </w:r>
      <w:r>
        <w:t xml:space="preserve">&gt;</w:t>
      </w:r>
      <w:r>
        <w:t xml:space="preserve"> </w:t>
      </w:r>
      <w:r>
        <w:t xml:space="preserve">“Alright, let’s get into it — because today we’re talking about something most contractors don’t think about until it’s almost too late: M&amp;A.”</w:t>
      </w:r>
    </w:p>
    <w:p>
      <w:r>
        <w:pict>
          <v:rect style="width:0;height:1.5pt" o:hralign="center" o:hrstd="t" o:hr="t"/>
        </w:pict>
      </w:r>
    </w:p>
    <w:bookmarkEnd w:id="12"/>
    <w:bookmarkStart w:id="13" w:name="part-1-prepare-to-sell-or-buy"/>
    <w:p>
      <w:pPr>
        <w:pStyle w:val="Heading2"/>
      </w:pPr>
      <w:r>
        <w:t xml:space="preserve">6:00 – 18:00 | PART 1 — Prepare to Sell (or Buy)</w:t>
      </w:r>
    </w:p>
    <w:p>
      <w:pPr>
        <w:pStyle w:val="FirstParagraph"/>
      </w:pPr>
      <w:r>
        <w:rPr>
          <w:b/>
          <w:bCs/>
        </w:rPr>
        <w:t xml:space="preserve">Goal:</w:t>
      </w:r>
      <w:r>
        <w:t xml:space="preserve"> </w:t>
      </w:r>
      <w:r>
        <w:t xml:space="preserve">Get transaction-ready before LOI.</w:t>
      </w:r>
    </w:p>
    <w:p>
      <w:pPr>
        <w:pStyle w:val="BodyText"/>
      </w:pPr>
      <w:r>
        <w:rPr>
          <w:b/>
          <w:bCs/>
        </w:rPr>
        <w:t xml:space="preserve">Anchor question:</w:t>
      </w:r>
      <w:r>
        <w:t xml:space="preserve"> </w:t>
      </w:r>
      <w:r>
        <w:t xml:space="preserve">&gt;</w:t>
      </w:r>
      <w:r>
        <w:t xml:space="preserve"> </w:t>
      </w:r>
      <w:r>
        <w:t xml:space="preserve">“Cy, if a founder tells you they want to sell in 18 months, what’s the first thing you tell them to fix?”</w:t>
      </w:r>
    </w:p>
    <w:p>
      <w:pPr>
        <w:pStyle w:val="BodyText"/>
      </w:pPr>
      <w:r>
        <w:rPr>
          <w:b/>
          <w:bCs/>
        </w:rPr>
        <w:t xml:space="preserve">Follow-ups:</w:t>
      </w:r>
    </w:p>
    <w:p>
      <w:pPr>
        <w:pStyle w:val="Compact"/>
        <w:numPr>
          <w:ilvl w:val="0"/>
          <w:numId w:val="1002"/>
        </w:numPr>
      </w:pPr>
      <w:r>
        <w:t xml:space="preserve">What makes govcon M&amp;A fundamentally different from a regular commercial deal?</w:t>
      </w:r>
    </w:p>
    <w:p>
      <w:pPr>
        <w:pStyle w:val="Compact"/>
        <w:numPr>
          <w:ilvl w:val="0"/>
          <w:numId w:val="1002"/>
        </w:numPr>
      </w:pPr>
      <w:r>
        <w:t xml:space="preserve">What are buyers actually paying for in govcon — is it contracts, compliance, people, customer access, or something else?</w:t>
      </w:r>
    </w:p>
    <w:p>
      <w:pPr>
        <w:pStyle w:val="Compact"/>
        <w:numPr>
          <w:ilvl w:val="0"/>
          <w:numId w:val="1002"/>
        </w:numPr>
      </w:pPr>
      <w:r>
        <w:t xml:space="preserve">What does</w:t>
      </w:r>
      <w:r>
        <w:t xml:space="preserve"> </w:t>
      </w:r>
      <w:r>
        <w:t xml:space="preserve">“clean”</w:t>
      </w:r>
      <w:r>
        <w:t xml:space="preserve"> </w:t>
      </w:r>
      <w:r>
        <w:t xml:space="preserve">look like? Contract files, compliance records, SBA status, OCI documentation — what should be in order?</w:t>
      </w:r>
    </w:p>
    <w:p>
      <w:pPr>
        <w:pStyle w:val="Compact"/>
        <w:numPr>
          <w:ilvl w:val="0"/>
          <w:numId w:val="1002"/>
        </w:numPr>
      </w:pPr>
      <w:r>
        <w:t xml:space="preserve">What are the biggest pre-LOI mistakes you see that destroy valuation?</w:t>
      </w:r>
    </w:p>
    <w:p>
      <w:pPr>
        <w:pStyle w:val="Compact"/>
        <w:numPr>
          <w:ilvl w:val="0"/>
          <w:numId w:val="1002"/>
        </w:numPr>
      </w:pPr>
      <w:r>
        <w:t xml:space="preserve">If a founder wants to maximize value 6–12 months out, what moves actually move the needle?</w:t>
      </w:r>
    </w:p>
    <w:p>
      <w:pPr>
        <w:pStyle w:val="FirstParagraph"/>
      </w:pPr>
      <w:r>
        <w:rPr>
          <w:b/>
          <w:bCs/>
        </w:rPr>
        <w:t xml:space="preserve">Mini-summary before transition:</w:t>
      </w:r>
      <w:r>
        <w:t xml:space="preserve"> </w:t>
      </w:r>
      <w:r>
        <w:t xml:space="preserve">&gt;</w:t>
      </w:r>
      <w:r>
        <w:t xml:space="preserve"> </w:t>
      </w:r>
      <w:r>
        <w:t xml:space="preserve">“So step one — clean house before you ever talk to a buyer. Now let’s talk about what happens when the deal gets real.”</w:t>
      </w:r>
    </w:p>
    <w:p>
      <w:r>
        <w:pict>
          <v:rect style="width:0;height:1.5pt" o:hralign="center" o:hrstd="t" o:hr="t"/>
        </w:pict>
      </w:r>
    </w:p>
    <w:bookmarkEnd w:id="13"/>
    <w:bookmarkStart w:id="14" w:name="part-2-diligence-deal-structuring"/>
    <w:p>
      <w:pPr>
        <w:pStyle w:val="Heading2"/>
      </w:pPr>
      <w:r>
        <w:t xml:space="preserve">18:00 – 33:00 | PART 2 — Diligence + Deal Structuring</w:t>
      </w:r>
    </w:p>
    <w:p>
      <w:pPr>
        <w:pStyle w:val="FirstParagraph"/>
      </w:pPr>
      <w:r>
        <w:rPr>
          <w:b/>
          <w:bCs/>
        </w:rPr>
        <w:t xml:space="preserve">Goal:</w:t>
      </w:r>
      <w:r>
        <w:t xml:space="preserve"> </w:t>
      </w:r>
      <w:r>
        <w:t xml:space="preserve">Show how deals are won or lost in diligence and legal structure.</w:t>
      </w:r>
    </w:p>
    <w:p>
      <w:pPr>
        <w:pStyle w:val="BodyText"/>
      </w:pPr>
      <w:r>
        <w:rPr>
          <w:b/>
          <w:bCs/>
        </w:rPr>
        <w:t xml:space="preserve">Anchor question:</w:t>
      </w:r>
      <w:r>
        <w:t xml:space="preserve"> </w:t>
      </w:r>
      <w:r>
        <w:t xml:space="preserve">&gt;</w:t>
      </w:r>
      <w:r>
        <w:t xml:space="preserve"> </w:t>
      </w:r>
      <w:r>
        <w:t xml:space="preserve">“When diligence starts, what are the top 3 red flags that make you tell a client to pause or reprice the deal?”</w:t>
      </w:r>
    </w:p>
    <w:p>
      <w:pPr>
        <w:pStyle w:val="BodyText"/>
      </w:pPr>
      <w:r>
        <w:rPr>
          <w:b/>
          <w:bCs/>
        </w:rPr>
        <w:t xml:space="preserve">Follow-ups:</w:t>
      </w:r>
    </w:p>
    <w:p>
      <w:pPr>
        <w:pStyle w:val="Compact"/>
        <w:numPr>
          <w:ilvl w:val="0"/>
          <w:numId w:val="1003"/>
        </w:numPr>
      </w:pPr>
      <w:r>
        <w:t xml:space="preserve">Asset deal vs equity deal in govcon — how should founders think about that choice?</w:t>
      </w:r>
    </w:p>
    <w:p>
      <w:pPr>
        <w:pStyle w:val="Compact"/>
        <w:numPr>
          <w:ilvl w:val="0"/>
          <w:numId w:val="1003"/>
        </w:numPr>
      </w:pPr>
      <w:r>
        <w:t xml:space="preserve">Novation and change-of-control — what do most people underestimate about timing and agency consent?</w:t>
      </w:r>
    </w:p>
    <w:p>
      <w:pPr>
        <w:pStyle w:val="Compact"/>
        <w:numPr>
          <w:ilvl w:val="0"/>
          <w:numId w:val="1003"/>
        </w:numPr>
      </w:pPr>
      <w:r>
        <w:t xml:space="preserve">SBA eligibility and affiliation — how easy is it to accidentally break small business status during a deal?</w:t>
      </w:r>
    </w:p>
    <w:p>
      <w:pPr>
        <w:pStyle w:val="Compact"/>
        <w:numPr>
          <w:ilvl w:val="0"/>
          <w:numId w:val="1003"/>
        </w:numPr>
      </w:pPr>
      <w:r>
        <w:t xml:space="preserve">On FAR/DFARS — what data rights, IP, or subcontractor dependencies cause the biggest surprises?</w:t>
      </w:r>
    </w:p>
    <w:p>
      <w:pPr>
        <w:pStyle w:val="Compact"/>
        <w:numPr>
          <w:ilvl w:val="0"/>
          <w:numId w:val="1003"/>
        </w:numPr>
      </w:pPr>
      <w:r>
        <w:t xml:space="preserve">In the purchase agreement itself, what reps, warranties, indemnities, escrows, or earn-outs matter most in govcon deals?</w:t>
      </w:r>
    </w:p>
    <w:p>
      <w:pPr>
        <w:pStyle w:val="Compact"/>
        <w:numPr>
          <w:ilvl w:val="0"/>
          <w:numId w:val="1003"/>
        </w:numPr>
      </w:pPr>
      <w:r>
        <w:t xml:space="preserve">How should earn-outs be structured when so much future value depends on recompetes and option years?</w:t>
      </w:r>
    </w:p>
    <w:p>
      <w:pPr>
        <w:pStyle w:val="FirstParagraph"/>
      </w:pPr>
      <w:r>
        <w:rPr>
          <w:b/>
          <w:bCs/>
        </w:rPr>
        <w:t xml:space="preserve">Mini-summary before transition:</w:t>
      </w:r>
      <w:r>
        <w:t xml:space="preserve"> </w:t>
      </w:r>
      <w:r>
        <w:t xml:space="preserve">&gt;</w:t>
      </w:r>
      <w:r>
        <w:t xml:space="preserve"> </w:t>
      </w:r>
      <w:r>
        <w:t xml:space="preserve">“So diligence isn’t just financial — in govcon, the legal and compliance layer is where the real value sits. Last piece — what happens after you close.”</w:t>
      </w:r>
    </w:p>
    <w:p>
      <w:r>
        <w:pict>
          <v:rect style="width:0;height:1.5pt" o:hralign="center" o:hrstd="t" o:hr="t"/>
        </w:pict>
      </w:r>
    </w:p>
    <w:bookmarkEnd w:id="14"/>
    <w:bookmarkStart w:id="15" w:name="Xadd4924bf61dc3a3e9271219acef85f9fea96b9"/>
    <w:p>
      <w:pPr>
        <w:pStyle w:val="Heading2"/>
      </w:pPr>
      <w:r>
        <w:t xml:space="preserve">33:00 – 45:00 | PART 3 — Post-Close Risk Control + Value Creation</w:t>
      </w:r>
    </w:p>
    <w:p>
      <w:pPr>
        <w:pStyle w:val="FirstParagraph"/>
      </w:pPr>
      <w:r>
        <w:rPr>
          <w:b/>
          <w:bCs/>
        </w:rPr>
        <w:t xml:space="preserve">Goal:</w:t>
      </w:r>
      <w:r>
        <w:t xml:space="preserve"> </w:t>
      </w:r>
      <w:r>
        <w:t xml:space="preserve">Protect the deal after close.</w:t>
      </w:r>
    </w:p>
    <w:p>
      <w:pPr>
        <w:pStyle w:val="BodyText"/>
      </w:pPr>
      <w:r>
        <w:rPr>
          <w:b/>
          <w:bCs/>
        </w:rPr>
        <w:t xml:space="preserve">Anchor question:</w:t>
      </w:r>
      <w:r>
        <w:t xml:space="preserve"> </w:t>
      </w:r>
      <w:r>
        <w:t xml:space="preserve">&gt;</w:t>
      </w:r>
      <w:r>
        <w:t xml:space="preserve"> </w:t>
      </w:r>
      <w:r>
        <w:t xml:space="preserve">“What do the best acquirers do in the first 30 days after close that average acquirers miss?”</w:t>
      </w:r>
    </w:p>
    <w:p>
      <w:pPr>
        <w:pStyle w:val="BodyText"/>
      </w:pPr>
      <w:r>
        <w:rPr>
          <w:b/>
          <w:bCs/>
        </w:rPr>
        <w:t xml:space="preserve">Follow-ups:</w:t>
      </w:r>
    </w:p>
    <w:p>
      <w:pPr>
        <w:pStyle w:val="Compact"/>
        <w:numPr>
          <w:ilvl w:val="0"/>
          <w:numId w:val="1004"/>
        </w:numPr>
      </w:pPr>
      <w:r>
        <w:t xml:space="preserve">What are the top legal and compliance priorities in the first 100 days?</w:t>
      </w:r>
    </w:p>
    <w:p>
      <w:pPr>
        <w:pStyle w:val="Compact"/>
        <w:numPr>
          <w:ilvl w:val="0"/>
          <w:numId w:val="1004"/>
        </w:numPr>
      </w:pPr>
      <w:r>
        <w:t xml:space="preserve">How do you keep contract continuity and agency confidence during a transition?</w:t>
      </w:r>
    </w:p>
    <w:p>
      <w:pPr>
        <w:pStyle w:val="Compact"/>
        <w:numPr>
          <w:ilvl w:val="0"/>
          <w:numId w:val="1004"/>
        </w:numPr>
      </w:pPr>
      <w:r>
        <w:t xml:space="preserve">What’s the right way to retain key personnel and subcontractor relationships post-close?</w:t>
      </w:r>
    </w:p>
    <w:p>
      <w:pPr>
        <w:pStyle w:val="Compact"/>
        <w:numPr>
          <w:ilvl w:val="0"/>
          <w:numId w:val="1004"/>
        </w:numPr>
      </w:pPr>
      <w:r>
        <w:t xml:space="preserve">How do buyers integrate policies without accidentally blowing up small business status or performance momentum?</w:t>
      </w:r>
    </w:p>
    <w:p>
      <w:pPr>
        <w:pStyle w:val="Compact"/>
        <w:numPr>
          <w:ilvl w:val="0"/>
          <w:numId w:val="1004"/>
        </w:numPr>
      </w:pPr>
      <w:r>
        <w:t xml:space="preserve">A year post-close — what does success actually look like in a govcon acquisition?</w:t>
      </w:r>
    </w:p>
    <w:p>
      <w:pPr>
        <w:pStyle w:val="FirstParagraph"/>
      </w:pPr>
      <w:r>
        <w:rPr>
          <w:b/>
          <w:bCs/>
        </w:rPr>
        <w:t xml:space="preserve">Mini-summary before transition:</w:t>
      </w:r>
      <w:r>
        <w:t xml:space="preserve"> </w:t>
      </w:r>
      <w:r>
        <w:t xml:space="preserve">&gt;</w:t>
      </w:r>
      <w:r>
        <w:t xml:space="preserve"> </w:t>
      </w:r>
      <w:r>
        <w:t xml:space="preserve">“Alright, let’s close with some rapid fire so the audience walks away with quick wins.”</w:t>
      </w:r>
    </w:p>
    <w:p>
      <w:r>
        <w:pict>
          <v:rect style="width:0;height:1.5pt" o:hralign="center" o:hrstd="t" o:hr="t"/>
        </w:pict>
      </w:r>
    </w:p>
    <w:bookmarkEnd w:id="15"/>
    <w:bookmarkStart w:id="16" w:name="rapid-fire"/>
    <w:p>
      <w:pPr>
        <w:pStyle w:val="Heading2"/>
      </w:pPr>
      <w:r>
        <w:t xml:space="preserve">45:00 – 48:00 | Rapid Fire</w:t>
      </w:r>
    </w:p>
    <w:p>
      <w:pPr>
        <w:pStyle w:val="Compact"/>
        <w:numPr>
          <w:ilvl w:val="0"/>
          <w:numId w:val="1005"/>
        </w:numPr>
      </w:pPr>
      <w:r>
        <w:t xml:space="preserve">Most overvalued metric in govcon deals?</w:t>
      </w:r>
    </w:p>
    <w:p>
      <w:pPr>
        <w:pStyle w:val="Compact"/>
        <w:numPr>
          <w:ilvl w:val="0"/>
          <w:numId w:val="1005"/>
        </w:numPr>
      </w:pPr>
      <w:r>
        <w:t xml:space="preserve">Most undervalued risk?</w:t>
      </w:r>
    </w:p>
    <w:p>
      <w:pPr>
        <w:pStyle w:val="Compact"/>
        <w:numPr>
          <w:ilvl w:val="0"/>
          <w:numId w:val="1005"/>
        </w:numPr>
      </w:pPr>
      <w:r>
        <w:t xml:space="preserve">Biggest mistake first-time sellers make?</w:t>
      </w:r>
    </w:p>
    <w:p>
      <w:pPr>
        <w:pStyle w:val="Compact"/>
        <w:numPr>
          <w:ilvl w:val="0"/>
          <w:numId w:val="1005"/>
        </w:numPr>
      </w:pPr>
      <w:r>
        <w:t xml:space="preserve">One document every buyer should review twice?</w:t>
      </w:r>
    </w:p>
    <w:p>
      <w:pPr>
        <w:pStyle w:val="Compact"/>
        <w:numPr>
          <w:ilvl w:val="0"/>
          <w:numId w:val="1005"/>
        </w:numPr>
      </w:pPr>
      <w:r>
        <w:t xml:space="preserve">One move that increases valuation before going to market?</w:t>
      </w:r>
    </w:p>
    <w:p>
      <w:pPr>
        <w:pStyle w:val="Compact"/>
        <w:numPr>
          <w:ilvl w:val="0"/>
          <w:numId w:val="1005"/>
        </w:numPr>
      </w:pPr>
      <w:r>
        <w:t xml:space="preserve">One habit of the best govcon CEOs you work with?</w:t>
      </w:r>
    </w:p>
    <w:p>
      <w:r>
        <w:pict>
          <v:rect style="width:0;height:1.5pt" o:hralign="center" o:hrstd="t" o:hr="t"/>
        </w:pict>
      </w:r>
    </w:p>
    <w:bookmarkEnd w:id="16"/>
    <w:bookmarkStart w:id="17" w:name="close-cta"/>
    <w:p>
      <w:pPr>
        <w:pStyle w:val="Heading2"/>
      </w:pPr>
      <w:r>
        <w:t xml:space="preserve">48:00 – 50:00 | Close + CTA</w:t>
      </w:r>
    </w:p>
    <w:p>
      <w:pPr>
        <w:pStyle w:val="FirstParagraph"/>
      </w:pPr>
      <w:r>
        <w:rPr>
          <w:b/>
          <w:bCs/>
        </w:rPr>
        <w:t xml:space="preserve">Host script:</w:t>
      </w:r>
    </w:p>
    <w:p>
      <w:pPr>
        <w:pStyle w:val="BlockText"/>
      </w:pPr>
      <w:r>
        <w:t xml:space="preserve">“Cy, this was gold. For everyone listening — whether you’re thinking about buying, selling, or just want to build a company that</w:t>
      </w:r>
      <w:r>
        <w:t xml:space="preserve"> </w:t>
      </w:r>
      <w:r>
        <w:rPr>
          <w:b/>
          <w:bCs/>
        </w:rPr>
        <w:t xml:space="preserve">could</w:t>
      </w:r>
      <w:r>
        <w:t xml:space="preserve"> </w:t>
      </w:r>
      <w:r>
        <w:t xml:space="preserve">be sold someday — the message is clear: compliance and contract strategy aren’t back-office functions, they’re valuation drivers.</w:t>
      </w:r>
    </w:p>
    <w:p>
      <w:pPr>
        <w:pStyle w:val="BlockText"/>
      </w:pPr>
      <w:r>
        <w:t xml:space="preserve">Cy, where should people go to learn more about you and PilieroMazza?”</w:t>
      </w:r>
    </w:p>
    <w:p>
      <w:pPr>
        <w:pStyle w:val="FirstParagraph"/>
      </w:pPr>
      <w:r>
        <w:rPr>
          <w:i/>
          <w:iCs/>
        </w:rPr>
        <w:t xml:space="preserve">(Let Cy share website / contact / resources.)</w:t>
      </w:r>
    </w:p>
    <w:p>
      <w:pPr>
        <w:pStyle w:val="BodyText"/>
      </w:pPr>
      <w:r>
        <w:rPr>
          <w:b/>
          <w:bCs/>
        </w:rPr>
        <w:t xml:space="preserve">Host close:</w:t>
      </w:r>
    </w:p>
    <w:p>
      <w:pPr>
        <w:pStyle w:val="BlockText"/>
      </w:pPr>
      <w:r>
        <w:t xml:space="preserve">“If this episode was helpful, share it with one founder or CEO who needs to hear it. And stay tuned — we’ll have Cy back for part two on bid protests, claims, and dispute strategy. Until next time, Giants — keep building.”</w:t>
      </w:r>
    </w:p>
    <w:p>
      <w:r>
        <w:pict>
          <v:rect style="width:0;height:1.5pt" o:hralign="center" o:hrstd="t" o:hr="t"/>
        </w:pict>
      </w:r>
    </w:p>
    <w:bookmarkEnd w:id="17"/>
    <w:bookmarkStart w:id="18" w:name="host-prep-checklist-day-of"/>
    <w:p>
      <w:pPr>
        <w:pStyle w:val="Heading2"/>
      </w:pPr>
      <w:r>
        <w:t xml:space="preserve">Host Prep Checklist (Day Of)</w:t>
      </w:r>
    </w:p>
    <w:p>
      <w:pPr>
        <w:pStyle w:val="Compact"/>
        <w:numPr>
          <w:ilvl w:val="0"/>
          <w:numId w:val="1006"/>
        </w:numPr>
      </w:pPr>
      <w:r>
        <w:t xml:space="preserve">Have Cy’s bio + firm name pulled up on screen</w:t>
      </w:r>
    </w:p>
    <w:p>
      <w:pPr>
        <w:pStyle w:val="Compact"/>
        <w:numPr>
          <w:ilvl w:val="0"/>
          <w:numId w:val="1007"/>
        </w:numPr>
      </w:pPr>
      <w:r>
        <w:t xml:space="preserve">Pre-confirm his preferred CTA (firm site, email, speaking, etc.)</w:t>
      </w:r>
    </w:p>
    <w:p>
      <w:pPr>
        <w:pStyle w:val="Compact"/>
        <w:numPr>
          <w:ilvl w:val="0"/>
          <w:numId w:val="1008"/>
        </w:numPr>
      </w:pPr>
      <w:r>
        <w:t xml:space="preserve">Keep a notepad for 2–3 clips you want to re-use on social</w:t>
      </w:r>
    </w:p>
    <w:p>
      <w:pPr>
        <w:pStyle w:val="Compact"/>
        <w:numPr>
          <w:ilvl w:val="0"/>
          <w:numId w:val="1009"/>
        </w:numPr>
      </w:pPr>
      <w:r>
        <w:t xml:space="preserve">Have one real-world example ready to prompt him (</w:t>
      </w:r>
      <w:r>
        <w:t xml:space="preserve">“I saw a deal recently where…”</w:t>
      </w:r>
      <w:r>
        <w:t xml:space="preserve">)</w:t>
      </w:r>
    </w:p>
    <w:p>
      <w:pPr>
        <w:pStyle w:val="Compact"/>
        <w:numPr>
          <w:ilvl w:val="0"/>
          <w:numId w:val="1010"/>
        </w:numPr>
      </w:pPr>
      <w:r>
        <w:t xml:space="preserve">End each section with a mini-summary so clips stand alone on social</w:t>
      </w:r>
    </w:p>
    <w:p>
      <w:r>
        <w:pict>
          <v:rect style="width:0;height:1.5pt" o:hralign="center" o:hrstd="t" o:hr="t"/>
        </w:pict>
      </w:r>
    </w:p>
    <w:p>
      <w:pPr>
        <w:pStyle w:val="FirstParagraph"/>
      </w:pPr>
      <w:r>
        <w:rPr>
          <w:i/>
          <w:iCs/>
        </w:rPr>
        <w:t xml:space="preserve">Prepared for GovCon Giants Podcast — M&amp;A Episode with Cy Alba, PilieroMazza PLLC.</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
  </w:num>
  <w:num w:numId="1007">
    <w:abstractNumId w:val="992"/>
  </w:num>
  <w:num w:numId="1008">
    <w:abstractNumId w:val="992"/>
  </w:num>
  <w:num w:numId="1009">
    <w:abstractNumId w:val="992"/>
  </w:num>
  <w:num w:numId="101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2026-04-17T14:28:36Z</dcterms:created>
  <dcterms:modified xsi:type="dcterms:W3CDTF">2026-04-17T14:28:36Z</dcterms:modified>
</cp:coreProperties>
</file>

<file path=docProps/custom.xml><?xml version="1.0" encoding="utf-8"?>
<Properties xmlns="http://schemas.openxmlformats.org/officeDocument/2006/custom-properties" xmlns:vt="http://schemas.openxmlformats.org/officeDocument/2006/docPropsVTypes"/>
</file>