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63 tools across four layers</w:t>
      </w:r>
    </w:p>
    <w:p>
      <w:pPr>
        <w:spacing w:after="120"/>
      </w:pPr>
      <w:r>
        <w:t xml:space="preserve">Among them: </w:t>
      </w:r>
      <w:r>
        <w:rPr>
          <w:rFonts w:ascii="Consolas" w:cs="Consolas" w:eastAsia="Consolas" w:hAnsi="Consolas"/>
          <w:color w:val="5B34D6"/>
          <w:shd w:fill="EEF1F8"/>
        </w:rPr>
        <w:t xml:space="preserve">get_current_acquisition_intelligence</w:t>
      </w:r>
      <w:r>
        <w:t xml:space="preserve"> (8 credits) — what changed about how a buyer is buying for a capability, and what to do differently (LIVE compose only). </w:t>
      </w:r>
      <w:r>
        <w:rPr>
          <w:rFonts w:ascii="Consolas" w:cs="Consolas" w:eastAsia="Consolas" w:hAnsi="Consolas"/>
          <w:color w:val="5B34D6"/>
          <w:shd w:fill="EEF1F8"/>
        </w:rPr>
        <w:t xml:space="preserve">match_company_to_pathways</w:t>
      </w:r>
      <w:r>
        <w:t xml:space="preserve"> (8 credits) — which of those doors a company’s public record can support (two-sided PATHWAY FIT; </w:t>
      </w:r>
      <w:r>
        <w:rPr>
          <w:rFonts w:ascii="Consolas" w:cs="Consolas" w:eastAsia="Consolas" w:hAnsi="Consolas"/>
          <w:color w:val="5B34D6"/>
          <w:shd w:fill="EEF1F8"/>
        </w:rPr>
        <w:t xml:space="preserve">no_proven_door</w:t>
      </w:r>
      <w:r>
        <w:t xml:space="preserve"> is success).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lookup_solicitation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Historical or known-id solicitation lookup — closed ≠ gone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Measured FY description-match market $ + NAICS/PSC distribution (shares are not market identity; does not set company NAICS, forecast/recompete scope, or opportunity eligibility)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get_current_acquisition_intelligence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What changed about how a buyer is buying + what to do differently (LIVE)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match_company_to_pathways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Which CAI doors a company’s public record can support (PATHWAY FIT)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63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2026-09-20T15:59:05.190Z</dcterms:created>
  <dcterms:modified xsi:type="dcterms:W3CDTF">2026-09-20T15:59:05.191Z</dcterms:modified>
</cp:coreProperties>
</file>

<file path=docProps/custom.xml><?xml version="1.0" encoding="utf-8"?>
<Properties xmlns="http://schemas.openxmlformats.org/officeDocument/2006/custom-properties" xmlns:vt="http://schemas.openxmlformats.org/officeDocument/2006/docPropsVTypes"/>
</file>