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54dd3cb32f90125655b5beb677c33cacb9f82e"/>
    <w:p>
      <w:pPr>
        <w:pStyle w:val="Heading1"/>
      </w:pPr>
      <w:r>
        <w:t xml:space="preserve">Mindy — Capability Answers for Servexo Joint Capability Statement</w:t>
      </w:r>
    </w:p>
    <w:bookmarkStart w:id="9" w:name="Xd648ae26bc9401e12c09598043607d7846ba65d"/>
    <w:p>
      <w:pPr>
        <w:pStyle w:val="Heading3"/>
      </w:pPr>
      <w:r>
        <w:t xml:space="preserve">USDA FSIS</w:t>
      </w:r>
      <w:r>
        <w:t xml:space="preserve"> </w:t>
      </w:r>
      <w:r>
        <w:t xml:space="preserve">“Homegrown AI”</w:t>
      </w:r>
      <w:r>
        <w:t xml:space="preserve"> </w:t>
      </w:r>
      <w:r>
        <w:t xml:space="preserve">(RFI1820064 / FSAI) · AI teaming partner to Servexo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GovCon Giants / Mindy (getmindy.ai) — AI / LLM / RAG technical capability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Faith Bustillo, Servexo Protective Services (prime)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Eric Coffie · eric@govcongiants.com · 786-208-2071</w:t>
      </w:r>
    </w:p>
    <w:p>
      <w:pPr>
        <w:pStyle w:val="BlockText"/>
      </w:pPr>
      <w:r>
        <w:rPr>
          <w:b/>
          <w:bCs/>
        </w:rPr>
        <w:t xml:space="preserve">Teaming posture (read first):</w:t>
      </w:r>
      <w:r>
        <w:t xml:space="preserve"> </w:t>
      </w:r>
      <w:r>
        <w:t xml:space="preserve">Servexo is the prime and carries the</w:t>
      </w:r>
      <w:r>
        <w:t xml:space="preserve"> </w:t>
      </w:r>
      <w:r>
        <w:rPr>
          <w:b/>
          <w:bCs/>
        </w:rPr>
        <w:t xml:space="preserve">GSA vehicle, cleared staffing, FedRAMP-authorized / FISMA-ATO hosting environment, and program delivery</w:t>
      </w:r>
      <w:r>
        <w:t xml:space="preserve">.</w:t>
      </w:r>
      <w:r>
        <w:t xml:space="preserve"> </w:t>
      </w:r>
      <w:r>
        <w:rPr>
          <w:b/>
          <w:bCs/>
        </w:rPr>
        <w:t xml:space="preserve">Mindy provides the AI/LLM/RAG and content-intelligence capability</w:t>
      </w:r>
      <w:r>
        <w:t xml:space="preserve"> </w:t>
      </w:r>
      <w:r>
        <w:t xml:space="preserve">that deploys</w:t>
      </w:r>
      <w:r>
        <w:t xml:space="preserve"> </w:t>
      </w:r>
      <w:r>
        <w:rPr>
          <w:b/>
          <w:bCs/>
        </w:rPr>
        <w:t xml:space="preserve">into that authorized environment</w:t>
      </w:r>
      <w:r>
        <w:t xml:space="preserve">. Where a requirement depends on the hosting boundary (FedRAMP, FISMA ATO, Azure Gov Cloud), it is delivered</w:t>
      </w:r>
      <w:r>
        <w:t xml:space="preserve"> </w:t>
      </w:r>
      <w:r>
        <w:rPr>
          <w:b/>
          <w:bCs/>
        </w:rPr>
        <w:t xml:space="preserve">on the prime’s / hosting partner’s authorized infrastructure</w:t>
      </w:r>
      <w:r>
        <w:t xml:space="preserve"> </w:t>
      </w:r>
      <w:r>
        <w:t xml:space="preserve">— Mindy supplies the portable, provider-agnostic application layer that runs inside it. Every capability below is in</w:t>
      </w:r>
      <w:r>
        <w:t xml:space="preserve"> </w:t>
      </w:r>
      <w:r>
        <w:rPr>
          <w:b/>
          <w:bCs/>
        </w:rPr>
        <w:t xml:space="preserve">production today</w:t>
      </w:r>
      <w:r>
        <w:t xml:space="preserve"> </w:t>
      </w:r>
      <w:r>
        <w:t xml:space="preserve">on our commercial platform (~1,900 users since 2024) and is architected to redeploy into a government-authorized environment.</w:t>
      </w:r>
    </w:p>
    <w:p>
      <w:r>
        <w:pict>
          <v:rect style="width:0;height:1.5pt" o:hralign="center" o:hrstd="t" o:hr="t"/>
        </w:pict>
      </w:r>
    </w:p>
    <w:bookmarkEnd w:id="9"/>
    <w:bookmarkStart w:id="10" w:name="Xce1cfb668298709079e4ee48a2ee02d3da43778"/>
    <w:p>
      <w:pPr>
        <w:pStyle w:val="Heading2"/>
      </w:pPr>
      <w:r>
        <w:t xml:space="preserve">1. Robust AI over structured AND unstructured data</w:t>
      </w:r>
    </w:p>
    <w:p>
      <w:pPr>
        <w:pStyle w:val="FirstParagraph"/>
      </w:pPr>
      <w:r>
        <w:t xml:space="preserve">Mindy runs grounded</w:t>
      </w:r>
      <w:r>
        <w:t xml:space="preserve"> </w:t>
      </w:r>
      <w:r>
        <w:rPr>
          <w:b/>
          <w:bCs/>
        </w:rPr>
        <w:t xml:space="preserve">LLM + retrieval-augmented generation (RAG)</w:t>
      </w:r>
      <w:r>
        <w:t xml:space="preserve"> </w:t>
      </w:r>
      <w:r>
        <w:t xml:space="preserve">in production over a mixed corpus of structured records and unstructured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data:</w:t>
      </w:r>
      <w:r>
        <w:t xml:space="preserve"> </w:t>
      </w:r>
      <w:r>
        <w:t xml:space="preserve">317,000+ contractor records and 88,000+ live federal solicitations, plus award/spending data — queried with typed filters (agency, NAICS/PSC, date, dollar value) and exposed to the model as tool-callable, cited facts (never guessed).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Unstructured documents:</w:t>
      </w:r>
      <w:r>
        <w:t xml:space="preserve"> </w:t>
      </w:r>
      <w:r>
        <w:t xml:space="preserve">solicitations, SOW/PWS, PDFs, and long-form notices are parsed,</w:t>
      </w:r>
      <w:r>
        <w:t xml:space="preserve"> </w:t>
      </w:r>
      <w:r>
        <w:rPr>
          <w:b/>
          <w:bCs/>
        </w:rPr>
        <w:t xml:space="preserve">NUL-safe normalized</w:t>
      </w:r>
      <w:r>
        <w:t xml:space="preserve">, and</w:t>
      </w:r>
      <w:r>
        <w:t xml:space="preserve"> </w:t>
      </w:r>
      <w:r>
        <w:rPr>
          <w:b/>
          <w:bCs/>
        </w:rPr>
        <w:t xml:space="preserve">semantically chunked</w:t>
      </w:r>
      <w:r>
        <w:t xml:space="preserve"> </w:t>
      </w:r>
      <w:r>
        <w:t xml:space="preserve">with structured metadata, then embedded to a vector store for</w:t>
      </w:r>
      <w:r>
        <w:t xml:space="preserve"> </w:t>
      </w:r>
      <w:r>
        <w:rPr>
          <w:b/>
          <w:bCs/>
        </w:rPr>
        <w:t xml:space="preserve">meaning-based retrieval</w:t>
      </w:r>
      <w:r>
        <w:t xml:space="preserve"> </w:t>
      </w:r>
      <w:r>
        <w:t xml:space="preserve">(a query matches a document by concept, not just keyword).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Grounding:</w:t>
      </w:r>
      <w:r>
        <w:t xml:space="preserve"> </w:t>
      </w:r>
      <w:r>
        <w:t xml:space="preserve">every answer carries</w:t>
      </w:r>
      <w:r>
        <w:t xml:space="preserve"> </w:t>
      </w:r>
      <w:r>
        <w:rPr>
          <w:b/>
          <w:bCs/>
        </w:rPr>
        <w:t xml:space="preserve">inline citations to the source record and as-of date</w:t>
      </w:r>
      <w:r>
        <w:t xml:space="preserve">; responses that cannot be grounded in the retrieved corpus</w:t>
      </w:r>
      <w:r>
        <w:t xml:space="preserve"> </w:t>
      </w:r>
      <w:r>
        <w:rPr>
          <w:b/>
          <w:bCs/>
        </w:rPr>
        <w:t xml:space="preserve">abstain rather than fabricate</w:t>
      </w:r>
      <w:r>
        <w:t xml:space="preserve"> </w:t>
      </w:r>
      <w:r>
        <w:t xml:space="preserve">— enforced by a fabrication guard and an LLM-as-judge fact-check on high-stakes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Fine-tune + RAG:</w:t>
      </w:r>
      <w:r>
        <w:t xml:space="preserve"> </w:t>
      </w:r>
      <w:r>
        <w:t xml:space="preserve">the architecture supports both domain fine-tuning and RAG against the agency’s own documents (the FSIS pattern: regulatory Q&amp;A, inspection decision support), with a labeled evaluation set and regression testing on every change.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connector-based ingestion → normalization → semantic chunking with metadata → embeddings → metadata-filtered retrieval → cited generation with abstain-on-insufficient-evidence.</w:t>
      </w:r>
    </w:p>
    <w:p>
      <w:r>
        <w:pict>
          <v:rect style="width:0;height:1.5pt" o:hralign="center" o:hrstd="t" o:hr="t"/>
        </w:pict>
      </w:r>
    </w:p>
    <w:bookmarkEnd w:id="10"/>
    <w:bookmarkStart w:id="11" w:name="X1ea05350385806cc6eacf27245a4dc3231bf318"/>
    <w:p>
      <w:pPr>
        <w:pStyle w:val="Heading2"/>
      </w:pPr>
      <w:r>
        <w:t xml:space="preserve">2. Observability layer for security, usage, and cost</w:t>
      </w:r>
    </w:p>
    <w:p>
      <w:pPr>
        <w:pStyle w:val="FirstParagraph"/>
      </w:pPr>
      <w:r>
        <w:t xml:space="preserve">Observability is built in, not bolted on — Mindy runs an operational dashboard over three planes today: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per-call and</w:t>
      </w:r>
      <w:r>
        <w:t xml:space="preserve"> </w:t>
      </w:r>
      <w:r>
        <w:rPr>
          <w:b/>
          <w:bCs/>
        </w:rPr>
        <w:t xml:space="preserve">per-user cost accounting</w:t>
      </w:r>
      <w:r>
        <w:t xml:space="preserve"> </w:t>
      </w:r>
      <w:r>
        <w:t xml:space="preserve">with an enforced budget cap; a provider-agnostic model chain with automatic downgrade so spend stays bounded under load. Admin cost dashboard reports spend by tool, model, and user.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every AI tool call records success/failure, latency, model, and provider; daily aggregates and a health dashboard surface tool-level success rates and error classes (timeout, rate-limit, token-limit, validation, provider error).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/ audit:</w:t>
      </w:r>
      <w:r>
        <w:t xml:space="preserve"> </w:t>
      </w:r>
      <w:r>
        <w:t xml:space="preserve">full</w:t>
      </w:r>
      <w:r>
        <w:t xml:space="preserve"> </w:t>
      </w:r>
      <w:r>
        <w:rPr>
          <w:b/>
          <w:bCs/>
        </w:rPr>
        <w:t xml:space="preserve">audit logging and traceability</w:t>
      </w:r>
      <w:r>
        <w:t xml:space="preserve"> </w:t>
      </w:r>
      <w:r>
        <w:t xml:space="preserve">on every request and every agentic action; least-privilege service accounts; external-provider health tracking so a degraded upstream is detected, not silently absorbed.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structured event logging → per-tool + per-provider health metrics → cost-usage ledger with caps → admin observability dashboard. This maps directly to the SOO’s SLA-availability, incident-resolution, and benchmark-performance requirements.</w:t>
      </w:r>
    </w:p>
    <w:p>
      <w:r>
        <w:pict>
          <v:rect style="width:0;height:1.5pt" o:hralign="center" o:hrstd="t" o:hr="t"/>
        </w:pict>
      </w:r>
    </w:p>
    <w:bookmarkEnd w:id="11"/>
    <w:bookmarkStart w:id="12" w:name="true-api-first-platform"/>
    <w:p>
      <w:pPr>
        <w:pStyle w:val="Heading2"/>
      </w:pPr>
      <w:r>
        <w:t xml:space="preserve">3. True API-first platform</w:t>
      </w:r>
    </w:p>
    <w:p>
      <w:pPr>
        <w:pStyle w:val="FirstParagraph"/>
      </w:pPr>
      <w:r>
        <w:t xml:space="preserve">Mindy is API-first by construction: the platform is</w:t>
      </w:r>
      <w:r>
        <w:t xml:space="preserve"> </w:t>
      </w:r>
      <w:r>
        <w:rPr>
          <w:b/>
          <w:bCs/>
        </w:rPr>
        <w:t xml:space="preserve">463 discrete API endpoints</w:t>
      </w:r>
      <w:r>
        <w:t xml:space="preserve"> </w:t>
      </w:r>
      <w:r>
        <w:t xml:space="preserve">with the UI as one consumer of those same APIs — not a monolith with an API bolted on.</w:t>
      </w:r>
    </w:p>
    <w:p>
      <w:pPr>
        <w:pStyle w:val="Compact"/>
        <w:numPr>
          <w:ilvl w:val="0"/>
          <w:numId w:val="1003"/>
        </w:numPr>
      </w:pPr>
      <w:r>
        <w:t xml:space="preserve">Every capability (search, retrieval, RAG answer, document parse, compliance scan, drafting, evaluation) is an addressable service endpoint with typed request/response contracts.</w:t>
      </w:r>
    </w:p>
    <w:p>
      <w:pPr>
        <w:pStyle w:val="Compact"/>
        <w:numPr>
          <w:ilvl w:val="0"/>
          <w:numId w:val="1003"/>
        </w:numPr>
      </w:pPr>
      <w:r>
        <w:t xml:space="preserve">Authentication, authorization, and rate-limiting are enforced at the API layer, so the same services can be consumed by a UI, another system, or the prime’s platform.</w:t>
      </w:r>
    </w:p>
    <w:p>
      <w:pPr>
        <w:pStyle w:val="Compact"/>
        <w:numPr>
          <w:ilvl w:val="0"/>
          <w:numId w:val="1003"/>
        </w:numPr>
      </w:pPr>
      <w:r>
        <w:t xml:space="preserve">This makes Mindy</w:t>
      </w:r>
      <w:r>
        <w:t xml:space="preserve"> </w:t>
      </w:r>
      <w:r>
        <w:rPr>
          <w:b/>
          <w:bCs/>
        </w:rPr>
        <w:t xml:space="preserve">integrable into PHIS / LIMS and other USDA systems</w:t>
      </w:r>
      <w:r>
        <w:t xml:space="preserve"> </w:t>
      </w:r>
      <w:r>
        <w:t xml:space="preserve">as services, and makes the AI capability composable rather than locked to one front end.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service-per-endpoint architecture; typed contracts; auth + rate-limit + audit at the API boundary; clean separation of capability services from presentation.</w:t>
      </w:r>
    </w:p>
    <w:p>
      <w:r>
        <w:pict>
          <v:rect style="width:0;height:1.5pt" o:hralign="center" o:hrstd="t" o:hr="t"/>
        </w:pict>
      </w:r>
    </w:p>
    <w:bookmarkEnd w:id="12"/>
    <w:bookmarkStart w:id="13" w:name="X6e09a8e5c525c0f72cc76d1954aa5af46b8599a"/>
    <w:p>
      <w:pPr>
        <w:pStyle w:val="Heading2"/>
      </w:pPr>
      <w:r>
        <w:t xml:space="preserve">4. Content application design, development, and deployment framework</w:t>
      </w:r>
    </w:p>
    <w:p>
      <w:pPr>
        <w:pStyle w:val="FirstParagraph"/>
      </w:pPr>
      <w:r>
        <w:t xml:space="preserve">Mindy provides an end-to-end framework for building content-driven applications on top of the AI + data layer: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reusable content and component patterns; templated document/report generation (e.g. drafted regulatory responses, compliance matrices, cited briefings).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the API-first service layer (see #3) plus a component library lets new content applications be assembled from existing grounded-AI services rather than rebuilt.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continuous-integration deployment with automated pre-ship gates (type checking, an authorization audit, and an automated test suite that blocks a release on failure), plus</w:t>
      </w:r>
      <w:r>
        <w:t xml:space="preserve"> </w:t>
      </w:r>
      <w:r>
        <w:rPr>
          <w:b/>
          <w:bCs/>
        </w:rPr>
        <w:t xml:space="preserve">graceful-degradation</w:t>
      </w:r>
      <w:r>
        <w:t xml:space="preserve"> </w:t>
      </w:r>
      <w:r>
        <w:t xml:space="preserve">patterns so a content application stays usable during an upstream outage.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content/component patterns → API-composed application services → CI/CD with hard pre-deploy gates → resilient runtime. Delivered into the prime’s authorized environment for the government instance.</w:t>
      </w:r>
    </w:p>
    <w:p>
      <w:r>
        <w:pict>
          <v:rect style="width:0;height:1.5pt" o:hralign="center" o:hrstd="t" o:hr="t"/>
        </w:pict>
      </w:r>
    </w:p>
    <w:bookmarkEnd w:id="13"/>
    <w:bookmarkStart w:id="14" w:name="Xfecead91365199ef7085ae7260a3ee941a1b8b3"/>
    <w:p>
      <w:pPr>
        <w:pStyle w:val="Heading2"/>
      </w:pPr>
      <w:r>
        <w:t xml:space="preserve">5. Robust security &amp; permission structure — services, content, AI, and RAG</w:t>
      </w:r>
    </w:p>
    <w:p>
      <w:pPr>
        <w:pStyle w:val="FirstParagraph"/>
      </w:pPr>
      <w:r>
        <w:t xml:space="preserve">Security and permissions are enforced at every layer, and the</w:t>
      </w:r>
      <w:r>
        <w:t xml:space="preserve"> </w:t>
      </w:r>
      <w:r>
        <w:rPr>
          <w:b/>
          <w:bCs/>
        </w:rPr>
        <w:t xml:space="preserve">RAG retrieval boundary is itself access-controlled</w:t>
      </w:r>
      <w:r>
        <w:t xml:space="preserve"> </w:t>
      </w:r>
      <w:r>
        <w:t xml:space="preserve">— a distinguishing point for a document-AI platform: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Services &amp; content:</w:t>
      </w:r>
      <w:r>
        <w:t xml:space="preserve"> </w:t>
      </w:r>
      <w:r>
        <w:t xml:space="preserve">authenticated, token-based sessions;</w:t>
      </w:r>
      <w:r>
        <w:t xml:space="preserve"> </w:t>
      </w:r>
      <w:r>
        <w:rPr>
          <w:b/>
          <w:bCs/>
        </w:rPr>
        <w:t xml:space="preserve">role- and workspace-scoped access</w:t>
      </w:r>
      <w:r>
        <w:t xml:space="preserve"> </w:t>
      </w:r>
      <w:r>
        <w:t xml:space="preserve">with row-level security at the database so a caller only ever sees data they are entitled to; two-factor session controls.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&amp; RAG:</w:t>
      </w:r>
      <w:r>
        <w:t xml:space="preserve"> </w:t>
      </w:r>
      <w:r>
        <w:rPr>
          <w:b/>
          <w:bCs/>
        </w:rPr>
        <w:t xml:space="preserve">metadata-filtered retrieval</w:t>
      </w:r>
      <w:r>
        <w:t xml:space="preserve"> </w:t>
      </w:r>
      <w:r>
        <w:t xml:space="preserve">so the model can only draw from the corpus the requester is authorized to see — permissioning applies to</w:t>
      </w:r>
      <w:r>
        <w:t xml:space="preserve"> </w:t>
      </w:r>
      <w:r>
        <w:rPr>
          <w:i/>
          <w:iCs/>
        </w:rPr>
        <w:t xml:space="preserve">what the AI can retrieve</w:t>
      </w:r>
      <w:r>
        <w:t xml:space="preserve">, not just what the UI shows. Agentic actions run under</w:t>
      </w:r>
      <w:r>
        <w:t xml:space="preserve"> </w:t>
      </w:r>
      <w:r>
        <w:rPr>
          <w:b/>
          <w:bCs/>
        </w:rPr>
        <w:t xml:space="preserve">bounded, allow-listed, least-privilege scopes</w:t>
      </w:r>
      <w:r>
        <w:t xml:space="preserve"> </w:t>
      </w:r>
      <w:r>
        <w:t xml:space="preserve">with full audit trails and reversible/rollback-able operations.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Safeguards:</w:t>
      </w:r>
      <w:r>
        <w:t xml:space="preserve"> </w:t>
      </w:r>
      <w:r>
        <w:t xml:space="preserve">defenses against prompt injection, data leakage, and unauthorized tool calls via input/output filtering, tool allow-listing, and least privilege.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handling:</w:t>
      </w:r>
      <w:r>
        <w:t xml:space="preserve"> </w:t>
      </w:r>
      <w:r>
        <w:t xml:space="preserve">encryption in transit and at rest; least-privilege service accounts; audit logging. Aligns with the SOO §3.1 model of session-scoped processing and no unauthorized external data flow — enforced within the prime’s authorized boundary.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API-layer authn/z → DB row-level security + workspace/role scoping → retrieval-time permission filtering (RAG) → bounded agentic scopes → full audit.</w:t>
      </w:r>
    </w:p>
    <w:p>
      <w:r>
        <w:pict>
          <v:rect style="width:0;height:1.5pt" o:hralign="center" o:hrstd="t" o:hr="t"/>
        </w:pict>
      </w:r>
    </w:p>
    <w:bookmarkEnd w:id="14"/>
    <w:bookmarkStart w:id="15" w:name="X7372dd1d0a9e8e57411dffea78017159aa7b902"/>
    <w:p>
      <w:pPr>
        <w:pStyle w:val="Heading2"/>
      </w:pPr>
      <w:r>
        <w:t xml:space="preserve">6. Self-managed deployment in Azure Gov Cloud</w:t>
      </w:r>
    </w:p>
    <w:p>
      <w:pPr>
        <w:pStyle w:val="FirstParagraph"/>
      </w:pPr>
      <w:r>
        <w:rPr>
          <w:b/>
          <w:bCs/>
        </w:rPr>
        <w:t xml:space="preserve">Honest, precise answer:</w:t>
      </w:r>
      <w:r>
        <w:t xml:space="preserve"> </w:t>
      </w:r>
      <w:r>
        <w:t xml:space="preserve">Mindy’s application layer is</w:t>
      </w:r>
      <w:r>
        <w:t xml:space="preserve"> </w:t>
      </w:r>
      <w:r>
        <w:rPr>
          <w:b/>
          <w:bCs/>
        </w:rPr>
        <w:t xml:space="preserve">provider-agnostic and containerizable</w:t>
      </w:r>
      <w:r>
        <w:t xml:space="preserve">, and is</w:t>
      </w:r>
      <w:r>
        <w:t xml:space="preserve"> </w:t>
      </w:r>
      <w:r>
        <w:rPr>
          <w:b/>
          <w:bCs/>
        </w:rPr>
        <w:t xml:space="preserve">architected to deploy self-managed into Azure Government Cloud</w:t>
      </w:r>
      <w:r>
        <w:t xml:space="preserve"> </w:t>
      </w:r>
      <w:r>
        <w:t xml:space="preserve">as part of the prime’s authorized environment. Today the commercial product runs on commercial cloud; the government instance would be</w:t>
      </w:r>
      <w:r>
        <w:t xml:space="preserve"> </w:t>
      </w:r>
      <w:r>
        <w:rPr>
          <w:b/>
          <w:bCs/>
        </w:rPr>
        <w:t xml:space="preserve">stood up inside Servexo’s (or the hosting partner’s) FedRAMP-authorized Azure Gov Cloud boundary</w:t>
      </w:r>
      <w:r>
        <w:t xml:space="preserve"> </w:t>
      </w:r>
      <w:r>
        <w:t xml:space="preserve">— Mindy is the portable software that runs there, not the hosting authority.</w:t>
      </w:r>
    </w:p>
    <w:p>
      <w:pPr>
        <w:pStyle w:val="BodyText"/>
      </w:pPr>
      <w:r>
        <w:t xml:space="preserve">What makes that a low-risk lift: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Portable building blocks:</w:t>
      </w:r>
      <w:r>
        <w:t xml:space="preserve"> </w:t>
      </w:r>
      <w:r>
        <w:t xml:space="preserve">standard Postgres + vector store, an object store, and a</w:t>
      </w:r>
      <w:r>
        <w:t xml:space="preserve"> </w:t>
      </w:r>
      <w:r>
        <w:rPr>
          <w:b/>
          <w:bCs/>
        </w:rPr>
        <w:t xml:space="preserve">provider-agnostic model fallback chain</w:t>
      </w:r>
      <w:r>
        <w:t xml:space="preserve"> </w:t>
      </w:r>
      <w:r>
        <w:t xml:space="preserve">(no single-vendor lock-in) — all of which have direct Azure Gov equivalents (Azure Database for PostgreSQL, Azure OpenAI in Gov, Blob Storage).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Containerized components</w:t>
      </w:r>
      <w:r>
        <w:t xml:space="preserve"> </w:t>
      </w:r>
      <w:r>
        <w:t xml:space="preserve">already exist in our data-ingestion pipeline, and the service-per-endpoint design deploys cleanly to a managed container/Kubernetes runtime.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In-boundary models by design — a firm commitment, not just a capability:</w:t>
      </w:r>
      <w:r>
        <w:t xml:space="preserve"> </w:t>
      </w:r>
      <w:r>
        <w:t xml:space="preserve">because the model layer is provider-agnostic and configuration-driven, the government instance is</w:t>
      </w:r>
      <w:r>
        <w:t xml:space="preserve"> </w:t>
      </w:r>
      <w:r>
        <w:rPr>
          <w:b/>
          <w:bCs/>
        </w:rPr>
        <w:t xml:space="preserve">configured to call only in-boundary models (e.g. Azure OpenAI in Azure Gov)</w:t>
      </w:r>
      <w:r>
        <w:t xml:space="preserve">, with</w:t>
      </w:r>
      <w:r>
        <w:t xml:space="preserve"> </w:t>
      </w:r>
      <w:r>
        <w:rPr>
          <w:b/>
          <w:bCs/>
        </w:rPr>
        <w:t xml:space="preserve">no FSIS data transmitted to any external or third-party LLM service</w:t>
      </w:r>
      <w:r>
        <w:t xml:space="preserve">. This meets SOO §3.1 directly:</w:t>
      </w:r>
      <w:r>
        <w:t xml:space="preserve"> </w:t>
      </w:r>
      <w:r>
        <w:rPr>
          <w:i/>
          <w:iCs/>
        </w:rPr>
        <w:t xml:space="preserve">all work with FSIS data stays in the USDA-approved secure environment.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OCIO-governed connections:</w:t>
      </w:r>
      <w:r>
        <w:t xml:space="preserve"> </w:t>
      </w:r>
      <w:r>
        <w:t xml:space="preserve">any external authorized-system connection (e.g. to a source system) is</w:t>
      </w:r>
      <w:r>
        <w:t xml:space="preserve"> </w:t>
      </w:r>
      <w:r>
        <w:rPr>
          <w:b/>
          <w:bCs/>
        </w:rPr>
        <w:t xml:space="preserve">identified and submitted for FSIS OCIO approval before use</w:t>
      </w:r>
      <w:r>
        <w:t xml:space="preserve">, per SOO §3.1 — nothing connects out by default.</w:t>
      </w:r>
    </w:p>
    <w:p>
      <w:pPr>
        <w:pStyle w:val="BodyText"/>
      </w:pPr>
      <w:r>
        <w:rPr>
          <w:b/>
          <w:bCs/>
        </w:rPr>
        <w:t xml:space="preserve">What we do not claim (stated plainly):</w:t>
      </w:r>
      <w:r>
        <w:t xml:space="preserve"> </w:t>
      </w:r>
      <w:r>
        <w:t xml:space="preserve">Mindy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itself hold a FISMA ATO or FedRAMP authorization, and we are not representing that it does. That authorization is carried by the prime / hosting partner whose Azure Gov Cloud environment we deploy into. Mindy is the portable, in-boundary application layer; the prime owns the accredited boundary. This is the intended teaming structure for this requirement.</w:t>
      </w:r>
    </w:p>
    <w:p>
      <w:pPr>
        <w:pStyle w:val="BodyText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containerized, provider-agnostic services → deployed self-managed into the prime’s Azure Gov Cloud FedRAMP boundary → in-boundary model + data services → no external data egress.</w:t>
      </w:r>
    </w:p>
    <w:p>
      <w:r>
        <w:pict>
          <v:rect style="width:0;height:1.5pt" o:hralign="center" o:hrstd="t" o:hr="t"/>
        </w:pict>
      </w:r>
    </w:p>
    <w:bookmarkEnd w:id="15"/>
    <w:bookmarkStart w:id="17" w:name="robust-content-data-preparation-services"/>
    <w:p>
      <w:pPr>
        <w:pStyle w:val="Heading2"/>
      </w:pPr>
      <w:r>
        <w:t xml:space="preserve">7. Robust content &amp; data preparation services</w:t>
      </w:r>
    </w:p>
    <w:p>
      <w:pPr>
        <w:pStyle w:val="FirstParagraph"/>
      </w:pPr>
      <w:r>
        <w:t xml:space="preserve">Data preparation is a core, production competency — the quality of a RAG system is the quality of its ingestion, and this is where Mindy is strongest: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Ingestion &amp; normalization:</w:t>
      </w:r>
      <w:r>
        <w:t xml:space="preserve"> </w:t>
      </w:r>
      <w:r>
        <w:t xml:space="preserve">connectors to authoritative and legacy sources;</w:t>
      </w:r>
      <w:r>
        <w:t xml:space="preserve"> </w:t>
      </w:r>
      <w:r>
        <w:rPr>
          <w:b/>
          <w:bCs/>
        </w:rPr>
        <w:t xml:space="preserve">NUL-safe, encoding-clean normalization</w:t>
      </w:r>
      <w:r>
        <w:t xml:space="preserve"> </w:t>
      </w:r>
      <w:r>
        <w:t xml:space="preserve">(Postgres-safe text); de-duplication and structural cleanup of messy PDFs/HTML.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Semantic chunking &amp; metadata:</w:t>
      </w:r>
      <w:r>
        <w:t xml:space="preserve"> </w:t>
      </w:r>
      <w:r>
        <w:t xml:space="preserve">documents are split by meaning with structured metadata (agency, document type, date, classification) so retrieval is precise and filterable.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intelligence:</w:t>
      </w:r>
      <w:r>
        <w:t xml:space="preserve"> </w:t>
      </w:r>
      <w:r>
        <w:t xml:space="preserve">automated document classification, section/requirement extraction (e.g. pulling every requirement into a compliance matrix), and knowledge capture from long-form documents.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Embeddings &amp; indexing:</w:t>
      </w:r>
      <w:r>
        <w:t xml:space="preserve"> </w:t>
      </w:r>
      <w:r>
        <w:t xml:space="preserve">embedding to a vector store with metadata-filtered indexes; hybrid semantic + keyword retrieval with re-ranking for accuracy.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of prepared data:</w:t>
      </w:r>
      <w:r>
        <w:t xml:space="preserve"> </w:t>
      </w:r>
      <w:r>
        <w:t xml:space="preserve">a labeled gold set with precision/recall on retrieval and factuality scoring, so the prepared corpus is measured, not assumed.</w:t>
      </w:r>
    </w:p>
    <w:p>
      <w:pPr>
        <w:pStyle w:val="FirstParagraph"/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connector ingestion → NUL-safe normalization → classification + extraction → semantic chunking + metadata → embeddings + hybrid index → measured retrieval quality.</w:t>
      </w:r>
    </w:p>
    <w:p>
      <w:r>
        <w:pict>
          <v:rect style="width:0;height:1.5pt" o:hralign="center" o:hrstd="t" o:hr="t"/>
        </w:pict>
      </w:r>
    </w:p>
    <w:bookmarkStart w:id="16" w:name="X739b17cdabd48879e66f7fe4b54ef3b2827b8e6"/>
    <w:p>
      <w:pPr>
        <w:pStyle w:val="Heading3"/>
      </w:pPr>
      <w:r>
        <w:t xml:space="preserve">One-line summary for the Capability Statement</w:t>
      </w:r>
    </w:p>
    <w:p>
      <w:pPr>
        <w:pStyle w:val="BlockText"/>
      </w:pPr>
      <w:r>
        <w:rPr>
          <w:b/>
          <w:bCs/>
        </w:rPr>
        <w:t xml:space="preserve">Mindy delivers a production, API-first, grounded-AI/RAG platform over structured and unstructured data — with built-in cost/usage/security observability, layered permissioning that extends into the RAG retrieval boundary, and strong content/data-preparation services — packaged as portable, containerized, provider-agnostic software that deploys self-managed into the prime’s FedRAMP-authorized Azure Government Cloud environment. Servexo carries the vehicle, cleared staffing, and hosting authorization; Mindy carries the AI.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2026-07-05T22:37:03Z</dcterms:created>
  <dcterms:modified xsi:type="dcterms:W3CDTF">2026-07-05T22:37:03Z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