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b/>
          <w:bCs/>
          <w:color w:val="1e3a8a"/>
          <w:sz w:val="40"/>
          <w:szCs w:val="40"/>
        </w:rPr>
        <w:t xml:space="preserve">Mindy MCP: Federal Contracting Intelligence for Any AI Agent</w:t>
      </w:r>
    </w:p>
    <w:p>
      <w:pPr>
        <w:pStyle w:val="Heading3"/>
        <w:spacing w:after="120" w:before="260"/>
      </w:pPr>
      <w:r>
        <w:rPr>
          <w:b/>
          <w:bCs/>
          <w:color w:val="1f2937"/>
          <w:sz w:val="22"/>
          <w:szCs w:val="22"/>
        </w:rPr>
        <w:t xml:space="preserve">How Mindy exposes 33 credit-metered GovCon intelligence tools to Claude, Cursor, or any agent you build — grounded in real federal data and an 8-year proprietary moat, with a contract that never fabricates</w:t>
      </w:r>
    </w:p>
    <w:p>
      <w:pPr>
        <w:pBdr>
          <w:bottom w:val="single" w:color="d1d5db" w:sz="6" w:space="8"/>
        </w:pBdr>
        <w:spacing w:after="160"/>
      </w:pPr>
    </w:p>
    <w:p>
      <w:pPr>
        <w:pStyle w:val="Heading2"/>
        <w:spacing w:after="120" w:before="260"/>
      </w:pPr>
      <w:r>
        <w:rPr>
          <w:b/>
          <w:bCs/>
          <w:color w:val="6d28d9"/>
          <w:sz w:val="28"/>
          <w:szCs w:val="28"/>
        </w:rPr>
        <w:t xml:space="preserve">The shift: your agent is smart, but it's flying blind on federal contracting</w:t>
      </w:r>
    </w:p>
    <w:p>
      <w:pPr>
        <w:spacing w:after="140"/>
        <w:jc w:val="left"/>
      </w:pPr>
      <w:r>
        <w:rPr>
          <w:color w:val="1f2937"/>
          <w:sz w:val="21"/>
          <w:szCs w:val="21"/>
        </w:rP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color w:val="1f2937"/>
          <w:sz w:val="21"/>
          <w:szCs w:val="21"/>
        </w:rPr>
        <w:t xml:space="preserve">"Who's the incumbent on this VA cybersecurity recompete, and when does it expire?"</w:t>
      </w:r>
      <w:r>
        <w:rPr>
          <w:color w:val="1f2937"/>
          <w:sz w:val="21"/>
          <w:szCs w:val="21"/>
        </w:rPr>
        <w:t xml:space="preserve"> — the model invents a plausible company and a made-up date.</w:t>
      </w:r>
    </w:p>
    <w:p>
      <w:pPr>
        <w:pStyle w:val="ListParagraph"/>
        <w:numPr>
          <w:ilvl w:val="0"/>
          <w:numId w:val="1"/>
        </w:numPr>
        <w:spacing w:after="60"/>
      </w:pPr>
      <w:r>
        <w:rPr>
          <w:i/>
          <w:iCs/>
          <w:color w:val="1f2937"/>
          <w:sz w:val="21"/>
          <w:szCs w:val="21"/>
        </w:rPr>
        <w:t xml:space="preserve">"What's the fair labor rate for a Senior Software Engineer on a GSA schedule?"</w:t>
      </w:r>
      <w:r>
        <w:rPr>
          <w:color w:val="1f2937"/>
          <w:sz w:val="21"/>
          <w:szCs w:val="21"/>
        </w:rPr>
        <w:t xml:space="preserve"> — it produces a number with no source.</w:t>
      </w:r>
    </w:p>
    <w:p>
      <w:pPr>
        <w:pStyle w:val="ListParagraph"/>
        <w:numPr>
          <w:ilvl w:val="0"/>
          <w:numId w:val="1"/>
        </w:numPr>
        <w:spacing w:after="60"/>
      </w:pPr>
      <w:r>
        <w:rPr>
          <w:i/>
          <w:iCs/>
          <w:color w:val="1f2937"/>
          <w:sz w:val="21"/>
          <w:szCs w:val="21"/>
        </w:rPr>
        <w:t xml:space="preserve">"Who at the Army Corps Los Angeles District actually buys this?"</w:t>
      </w:r>
      <w:r>
        <w:rPr>
          <w:color w:val="1f2937"/>
          <w:sz w:val="21"/>
          <w:szCs w:val="21"/>
        </w:rPr>
        <w:t xml:space="preserve"> — it returns a generic </w:t>
      </w:r>
      <w:r>
        <w:rPr>
          <w:rFonts w:ascii="Consolas" w:cs="Consolas" w:eastAsia="Consolas" w:hAnsi="Consolas"/>
          <w:color w:val="6d28d9"/>
          <w:sz w:val="21"/>
          <w:szCs w:val="21"/>
        </w:rPr>
        <w:t xml:space="preserve">contracting.officer@army.mil</w:t>
      </w:r>
      <w:r>
        <w:rPr>
          <w:color w:val="1f2937"/>
          <w:sz w:val="21"/>
          <w:szCs w:val="21"/>
        </w:rPr>
        <w:t xml:space="preserve"> that doesn't exist.</w:t>
      </w:r>
    </w:p>
    <w:p>
      <w:pPr>
        <w:spacing w:after="140"/>
        <w:jc w:val="left"/>
      </w:pPr>
      <w:r>
        <w:rPr>
          <w:color w:val="1f2937"/>
          <w:sz w:val="21"/>
          <w:szCs w:val="21"/>
        </w:rPr>
        <w:t xml:space="preserve">The intelligence isn't in the model. It's in SAM.gov, USASpending, SEC EDGAR, GSA CALC, and — for the parts no public API holds — in eight years of GovCon Giants teaching, curated contact rosters, and proprietary corpora. </w:t>
      </w:r>
      <w:r>
        <w:rPr>
          <w:b/>
          <w:bCs/>
          <w:color w:val="1f2937"/>
          <w:sz w:val="21"/>
          <w:szCs w:val="21"/>
        </w:rPr>
        <w:t xml:space="preserve">Mindy MCP is the bridge.</w:t>
      </w:r>
      <w:r>
        <w:rPr>
          <w:color w:val="1f2937"/>
          <w:sz w:val="21"/>
          <w:szCs w:val="21"/>
        </w:rPr>
        <w:t xml:space="preserve"> It's a hosted Model Context Protocol (MCP) server that hands any agent a catalog of grounded federal-contracting tools, so the answers come from real data instead of the model's imagination.</w:t>
      </w:r>
    </w:p>
    <w:p>
      <w:pPr>
        <w:pBdr>
          <w:bottom w:val="single" w:color="d1d5db" w:sz="6" w:space="8"/>
        </w:pBdr>
        <w:spacing w:after="160"/>
      </w:pPr>
    </w:p>
    <w:p>
      <w:pPr>
        <w:pStyle w:val="Heading2"/>
        <w:spacing w:after="120" w:before="260"/>
      </w:pPr>
      <w:r>
        <w:rPr>
          <w:b/>
          <w:bCs/>
          <w:color w:val="6d28d9"/>
          <w:sz w:val="28"/>
          <w:szCs w:val="28"/>
        </w:rPr>
        <w:t xml:space="preserve">The commodity trap — why "wrap SAM.gov" isn't a moat</w:t>
      </w:r>
    </w:p>
    <w:p>
      <w:pPr>
        <w:spacing w:after="140"/>
        <w:jc w:val="left"/>
      </w:pPr>
      <w:r>
        <w:rPr>
          <w:color w:val="1f2937"/>
          <w:sz w:val="21"/>
          <w:szCs w:val="21"/>
        </w:rPr>
        <w:t xml:space="preserve">SAM.gov and USASpending are free, public APIs. Any competitor can wrap them in a weekend, and several have. That layer is a commodity.</w:t>
      </w:r>
    </w:p>
    <w:p>
      <w:pPr>
        <w:spacing w:after="140"/>
        <w:jc w:val="left"/>
      </w:pPr>
      <w:r>
        <w:rPr>
          <w:color w:val="1f2937"/>
          <w:sz w:val="21"/>
          <w:szCs w:val="21"/>
        </w:rPr>
        <w:t xml:space="preserve">Mindy leads with those public-data tools because they're genuinely useful — but the reason an agent stays on Mindy is the layer competitors </w:t>
      </w:r>
      <w:r>
        <w:rPr>
          <w:b/>
          <w:bCs/>
          <w:color w:val="1f2937"/>
          <w:sz w:val="21"/>
          <w:szCs w:val="21"/>
        </w:rPr>
        <w:t xml:space="preserve">cannot</w:t>
      </w:r>
      <w:r>
        <w:rPr>
          <w:color w:val="1f2937"/>
          <w:sz w:val="21"/>
          <w:szCs w:val="21"/>
        </w:rPr>
        <w:t xml:space="preserve"> copy:</w:t>
      </w:r>
    </w:p>
    <w:p>
      <w:pPr>
        <w:pStyle w:val="ListParagraph"/>
        <w:numPr>
          <w:ilvl w:val="0"/>
          <w:numId w:val="1"/>
        </w:numPr>
        <w:spacing w:after="60"/>
      </w:pPr>
      <w:r>
        <w:rPr>
          <w:b/>
          <w:bCs/>
          <w:color w:val="1f2937"/>
          <w:sz w:val="21"/>
          <w:szCs w:val="21"/>
        </w:rPr>
        <w:t xml:space="preserve">The winning-playbook corpus</w:t>
      </w:r>
      <w:r>
        <w:rPr>
          <w:color w:val="1f2937"/>
          <w:sz w:val="21"/>
          <w:szCs w:val="21"/>
        </w:rPr>
        <w:t xml:space="preserve"> — 8 years of course, proposal-template, and podcast-guest content that answers </w:t>
      </w:r>
      <w:r>
        <w:rPr>
          <w:i/>
          <w:iCs/>
          <w:color w:val="1f2937"/>
          <w:sz w:val="21"/>
          <w:szCs w:val="21"/>
        </w:rPr>
        <w:t xml:space="preserve">"how do I actually win this,"</w:t>
      </w:r>
      <w:r>
        <w:rPr>
          <w:color w:val="1f2937"/>
          <w:sz w:val="21"/>
          <w:szCs w:val="21"/>
        </w:rPr>
        <w:t xml:space="preserve"> which no public API contains.</w:t>
      </w:r>
    </w:p>
    <w:p>
      <w:pPr>
        <w:pStyle w:val="ListParagraph"/>
        <w:numPr>
          <w:ilvl w:val="0"/>
          <w:numId w:val="1"/>
        </w:numPr>
        <w:spacing w:after="60"/>
      </w:pPr>
      <w:r>
        <w:rPr>
          <w:b/>
          <w:bCs/>
          <w:color w:val="1f2937"/>
          <w:sz w:val="21"/>
          <w:szCs w:val="21"/>
        </w:rPr>
        <w:t xml:space="preserve">Office-level buying contacts</w:t>
      </w:r>
      <w:r>
        <w:rPr>
          <w:color w:val="1f2937"/>
          <w:sz w:val="21"/>
          <w:szCs w:val="21"/>
        </w:rPr>
        <w:t xml:space="preserve"> — the named contracting officers and small-business POCs at a </w:t>
      </w:r>
      <w:r>
        <w:rPr>
          <w:i/>
          <w:iCs/>
          <w:color w:val="1f2937"/>
          <w:sz w:val="21"/>
          <w:szCs w:val="21"/>
        </w:rPr>
        <w:t xml:space="preserve">specific</w:t>
      </w:r>
      <w:r>
        <w:rPr>
          <w:color w:val="1f2937"/>
          <w:sz w:val="21"/>
          <w:szCs w:val="21"/>
        </w:rPr>
        <w:t xml:space="preserve"> buying office, not the whole-department firehose.</w:t>
      </w:r>
    </w:p>
    <w:p>
      <w:pPr>
        <w:pStyle w:val="ListParagraph"/>
        <w:numPr>
          <w:ilvl w:val="0"/>
          <w:numId w:val="1"/>
        </w:numPr>
        <w:spacing w:after="60"/>
      </w:pPr>
      <w:r>
        <w:rPr>
          <w:b/>
          <w:bCs/>
          <w:color w:val="1f2937"/>
          <w:sz w:val="21"/>
          <w:szCs w:val="21"/>
        </w:rPr>
        <w:t xml:space="preserve">A curated SBLO teaming roster</w:t>
      </w:r>
      <w:r>
        <w:rPr>
          <w:color w:val="1f2937"/>
          <w:sz w:val="21"/>
          <w:szCs w:val="21"/>
        </w:rPr>
        <w:t xml:space="preserve"> — the Small Business Liaison Officer at 200 primes, re-researched and verified, so an agent knows </w:t>
      </w:r>
      <w:r>
        <w:rPr>
          <w:i/>
          <w:iCs/>
          <w:color w:val="1f2937"/>
          <w:sz w:val="21"/>
          <w:szCs w:val="21"/>
        </w:rPr>
        <w:t xml:space="preserve">who to call</w:t>
      </w:r>
      <w:r>
        <w:rPr>
          <w:color w:val="1f2937"/>
          <w:sz w:val="21"/>
          <w:szCs w:val="21"/>
        </w:rPr>
        <w:t xml:space="preserve"> to team.</w:t>
      </w:r>
    </w:p>
    <w:p>
      <w:pPr>
        <w:pStyle w:val="ListParagraph"/>
        <w:numPr>
          <w:ilvl w:val="0"/>
          <w:numId w:val="1"/>
        </w:numPr>
        <w:spacing w:after="60"/>
      </w:pPr>
      <w:r>
        <w:rPr>
          <w:b/>
          <w:bCs/>
          <w:color w:val="1f2937"/>
          <w:sz w:val="21"/>
          <w:szCs w:val="21"/>
        </w:rPr>
        <w:t xml:space="preserve">The podcast lesson corpus</w:t>
      </w:r>
      <w:r>
        <w:rPr>
          <w:color w:val="1f2937"/>
          <w:sz w:val="21"/>
          <w:szCs w:val="21"/>
        </w:rPr>
        <w:t xml:space="preserve"> — real lessons from real contractor and agency guests, matched by topic, agency, or set-aside.</w:t>
      </w:r>
    </w:p>
    <w:p>
      <w:pPr>
        <w:spacing w:after="140"/>
        <w:jc w:val="left"/>
      </w:pPr>
      <w:r>
        <w:rPr>
          <w:color w:val="1f2937"/>
          <w:sz w:val="21"/>
          <w:szCs w:val="21"/>
        </w:rPr>
        <w:t xml:space="preserve">Wrapping a public API is the price of entry. The moat is the intelligence that took eight years of subject-matter work to assemble.</w:t>
      </w:r>
    </w:p>
    <w:p>
      <w:pPr>
        <w:pBdr>
          <w:bottom w:val="single" w:color="d1d5db" w:sz="6" w:space="8"/>
        </w:pBdr>
        <w:spacing w:after="160"/>
      </w:pPr>
    </w:p>
    <w:p>
      <w:pPr>
        <w:pStyle w:val="Heading2"/>
        <w:spacing w:after="120" w:before="260"/>
      </w:pPr>
      <w:r>
        <w:rPr>
          <w:b/>
          <w:bCs/>
          <w:color w:val="6d28d9"/>
          <w:sz w:val="28"/>
          <w:szCs w:val="28"/>
        </w:rPr>
        <w:t xml:space="preserve">What Mindy MCP gives an agent — 33 tools across four layers</w:t>
      </w:r>
    </w:p>
    <w:p>
      <w:pPr>
        <w:spacing w:after="140"/>
        <w:jc w:val="left"/>
      </w:pPr>
      <w:r>
        <w:rPr>
          <w:color w:val="1f2937"/>
          <w:sz w:val="21"/>
          <w:szCs w:val="21"/>
        </w:rPr>
        <w:t xml:space="preserve">The hosted server exposes </w:t>
      </w:r>
      <w:r>
        <w:rPr>
          <w:b/>
          <w:bCs/>
          <w:color w:val="1f2937"/>
          <w:sz w:val="21"/>
          <w:szCs w:val="21"/>
        </w:rPr>
        <w:t xml:space="preserve">33 credit-metered tools</w:t>
      </w:r>
      <w:r>
        <w:rPr>
          <w:color w:val="1f2937"/>
          <w:sz w:val="21"/>
          <w:szCs w:val="21"/>
        </w:rPr>
        <w:t xml:space="preserve"> (plus a free </w:t>
      </w:r>
      <w:r>
        <w:rPr>
          <w:rFonts w:ascii="Consolas" w:cs="Consolas" w:eastAsia="Consolas" w:hAnsi="Consolas"/>
          <w:color w:val="6d28d9"/>
          <w:sz w:val="21"/>
          <w:szCs w:val="21"/>
        </w:rPr>
        <w:t xml:space="preserve">get_balance</w:t>
      </w:r>
      <w:r>
        <w:rPr>
          <w:color w:val="1f2937"/>
          <w:sz w:val="21"/>
          <w:szCs w:val="21"/>
        </w:rPr>
        <w:t xml:space="preserve"> check). Twenty-nine are purpose-built GovCon intelligence tools; four are the core public-data search tools reused from Mindy's own platform. They fall into four layers:</w:t>
      </w:r>
    </w:p>
    <w:p>
      <w:pPr>
        <w:pStyle w:val="Heading3"/>
        <w:spacing w:after="120" w:before="260"/>
      </w:pPr>
      <w:r>
        <w:rPr>
          <w:b/>
          <w:bCs/>
          <w:color w:val="1f2937"/>
          <w:sz w:val="22"/>
          <w:szCs w:val="22"/>
        </w:rPr>
        <w:t xml:space="preserve">Public data &amp; search</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Tool</w:t>
            </w:r>
          </w:p>
        </w:tc>
        <w:tc>
          <w:tcPr>
            <w:shd w:fill="f1effa" w:val="clear"/>
            <w:tcMar>
              <w:top w:type="dxa" w:w="60"/>
              <w:left w:type="dxa" w:w="110"/>
              <w:bottom w:type="dxa" w:w="60"/>
              <w:right w:type="dxa" w:w="110"/>
            </w:tcMar>
          </w:tcPr>
          <w:p>
            <w:r>
              <w:rPr>
                <w:b/>
                <w:bCs/>
                <w:color w:val="1e3a8a"/>
                <w:sz w:val="19"/>
                <w:szCs w:val="19"/>
              </w:rPr>
              <w:t xml:space="preserve">What it answers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search_sam_opportunities</w:t>
            </w:r>
          </w:p>
        </w:tc>
        <w:tc>
          <w:tcPr>
            <w:tcMar>
              <w:top w:type="dxa" w:w="60"/>
              <w:left w:type="dxa" w:w="110"/>
              <w:bottom w:type="dxa" w:w="60"/>
              <w:right w:type="dxa" w:w="110"/>
            </w:tcMar>
          </w:tcPr>
          <w:p>
            <w:r>
              <w:rPr>
                <w:color w:val="1f2937"/>
                <w:sz w:val="19"/>
                <w:szCs w:val="19"/>
              </w:rPr>
              <w:t xml:space="preserve">Open federal solicitations by keyword / NAICS / set-aside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get_market_vocabulary</w:t>
            </w:r>
          </w:p>
        </w:tc>
        <w:tc>
          <w:tcPr>
            <w:tcMar>
              <w:top w:type="dxa" w:w="60"/>
              <w:left w:type="dxa" w:w="110"/>
              <w:bottom w:type="dxa" w:w="60"/>
              <w:right w:type="dxa" w:w="110"/>
            </w:tcMar>
          </w:tcPr>
          <w:p>
            <w:r>
              <w:rPr>
                <w:color w:val="1f2937"/>
                <w:sz w:val="19"/>
                <w:szCs w:val="19"/>
              </w:rPr>
              <w:t xml:space="preserve">The real terms buyers use for a market</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get_keyword_coverage</w:t>
            </w:r>
          </w:p>
        </w:tc>
        <w:tc>
          <w:tcPr>
            <w:tcMar>
              <w:top w:type="dxa" w:w="60"/>
              <w:left w:type="dxa" w:w="110"/>
              <w:bottom w:type="dxa" w:w="60"/>
              <w:right w:type="dxa" w:w="110"/>
            </w:tcMar>
          </w:tcPr>
          <w:p>
            <w:r>
              <w:rPr>
                <w:color w:val="1f2937"/>
                <w:sz w:val="19"/>
                <w:szCs w:val="19"/>
              </w:rPr>
              <w:t xml:space="preserve">Total market $ for a product + every buying NAICS ("NAICS is the wrong primary key")</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search_grants</w:t>
            </w:r>
          </w:p>
        </w:tc>
        <w:tc>
          <w:tcPr>
            <w:tcMar>
              <w:top w:type="dxa" w:w="60"/>
              <w:left w:type="dxa" w:w="110"/>
              <w:bottom w:type="dxa" w:w="60"/>
              <w:right w:type="dxa" w:w="110"/>
            </w:tcMar>
          </w:tcPr>
          <w:p>
            <w:r>
              <w:rPr>
                <w:color w:val="1f2937"/>
                <w:sz w:val="19"/>
                <w:szCs w:val="19"/>
              </w:rPr>
              <w:t xml:space="preserve">Federal grant (assistance) opportunities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get_agency_forecasts</w:t>
            </w:r>
          </w:p>
        </w:tc>
        <w:tc>
          <w:tcPr>
            <w:tcMar>
              <w:top w:type="dxa" w:w="60"/>
              <w:left w:type="dxa" w:w="110"/>
              <w:bottom w:type="dxa" w:w="60"/>
              <w:right w:type="dxa" w:w="110"/>
            </w:tcMar>
          </w:tcPr>
          <w:p>
            <w:r>
              <w:rPr>
                <w:color w:val="1f2937"/>
                <w:sz w:val="19"/>
                <w:szCs w:val="19"/>
              </w:rPr>
              <w:t xml:space="preserve">Planned procurements 6–18 months before solicitation</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search_sbir</w:t>
            </w:r>
          </w:p>
        </w:tc>
        <w:tc>
          <w:tcPr>
            <w:tcMar>
              <w:top w:type="dxa" w:w="60"/>
              <w:left w:type="dxa" w:w="110"/>
              <w:bottom w:type="dxa" w:w="60"/>
              <w:right w:type="dxa" w:w="110"/>
            </w:tcMar>
          </w:tcPr>
          <w:p>
            <w:r>
              <w:rPr>
                <w:color w:val="1f2937"/>
                <w:sz w:val="19"/>
                <w:szCs w:val="19"/>
              </w:rPr>
              <w:t xml:space="preserve">SBIR/STTR small-business R&amp;D awards + open notices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get_expiring_contracts</w:t>
            </w:r>
          </w:p>
        </w:tc>
        <w:tc>
          <w:tcPr>
            <w:tcMar>
              <w:top w:type="dxa" w:w="60"/>
              <w:left w:type="dxa" w:w="110"/>
              <w:bottom w:type="dxa" w:w="60"/>
              <w:right w:type="dxa" w:w="110"/>
            </w:tcMar>
          </w:tcPr>
          <w:p>
            <w:r>
              <w:rPr>
                <w:color w:val="1f2937"/>
                <w:sz w:val="19"/>
                <w:szCs w:val="19"/>
              </w:rPr>
              <w:t xml:space="preserve">Contracts expiring within a window — recompete targets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search_idv_contracts</w:t>
            </w:r>
          </w:p>
        </w:tc>
        <w:tc>
          <w:tcPr>
            <w:tcMar>
              <w:top w:type="dxa" w:w="60"/>
              <w:left w:type="dxa" w:w="110"/>
              <w:bottom w:type="dxa" w:w="60"/>
              <w:right w:type="dxa" w:w="110"/>
            </w:tcMar>
          </w:tcPr>
          <w:p>
            <w:r>
              <w:rPr>
                <w:color w:val="1f2937"/>
                <w:sz w:val="19"/>
                <w:szCs w:val="19"/>
              </w:rPr>
              <w:t xml:space="preserve">IDIQ / GWAC / BPA vehicles + the task orders flowing through them</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get_solicitation_documents</w:t>
            </w:r>
          </w:p>
        </w:tc>
        <w:tc>
          <w:tcPr>
            <w:tcMar>
              <w:top w:type="dxa" w:w="60"/>
              <w:left w:type="dxa" w:w="110"/>
              <w:bottom w:type="dxa" w:w="60"/>
              <w:right w:type="dxa" w:w="110"/>
            </w:tcMar>
          </w:tcPr>
          <w:p>
            <w:r>
              <w:rPr>
                <w:color w:val="1f2937"/>
                <w:sz w:val="19"/>
                <w:szCs w:val="19"/>
              </w:rPr>
              <w:t xml:space="preserve">Full SOW/PWS + attachments for a notice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search_federal_events</w:t>
            </w:r>
          </w:p>
        </w:tc>
        <w:tc>
          <w:tcPr>
            <w:tcMar>
              <w:top w:type="dxa" w:w="60"/>
              <w:left w:type="dxa" w:w="110"/>
              <w:bottom w:type="dxa" w:w="60"/>
              <w:right w:type="dxa" w:w="110"/>
            </w:tcMar>
          </w:tcPr>
          <w:p>
            <w:r>
              <w:rPr>
                <w:color w:val="1f2937"/>
                <w:sz w:val="19"/>
                <w:szCs w:val="19"/>
              </w:rPr>
              <w:t xml:space="preserve">Industry days, matchmaking, sources-sought for an agency</w:t>
            </w:r>
          </w:p>
        </w:tc>
      </w:tr>
    </w:tbl>
    <w:p>
      <w:pPr>
        <w:spacing w:after="120"/>
      </w:pPr>
    </w:p>
    <w:p>
      <w:pPr>
        <w:pStyle w:val="Heading3"/>
        <w:spacing w:after="120" w:before="260"/>
      </w:pPr>
      <w:r>
        <w:rPr>
          <w:b/>
          <w:bCs/>
          <w:color w:val="1f2937"/>
          <w:sz w:val="22"/>
          <w:szCs w:val="22"/>
        </w:rPr>
        <w:t xml:space="preserve">Competitive intelligence</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Tool</w:t>
            </w:r>
          </w:p>
        </w:tc>
        <w:tc>
          <w:tcPr>
            <w:shd w:fill="f1effa" w:val="clear"/>
            <w:tcMar>
              <w:top w:type="dxa" w:w="60"/>
              <w:left w:type="dxa" w:w="110"/>
              <w:bottom w:type="dxa" w:w="60"/>
              <w:right w:type="dxa" w:w="110"/>
            </w:tcMar>
          </w:tcPr>
          <w:p>
            <w:r>
              <w:rPr>
                <w:b/>
                <w:bCs/>
                <w:color w:val="1e3a8a"/>
                <w:sz w:val="19"/>
                <w:szCs w:val="19"/>
              </w:rPr>
              <w:t xml:space="preserve">What it answers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get_contractor_profile</w:t>
            </w:r>
          </w:p>
        </w:tc>
        <w:tc>
          <w:tcPr>
            <w:tcMar>
              <w:top w:type="dxa" w:w="60"/>
              <w:left w:type="dxa" w:w="110"/>
              <w:bottom w:type="dxa" w:w="60"/>
              <w:right w:type="dxa" w:w="110"/>
            </w:tcMar>
          </w:tcPr>
          <w:p>
            <w:r>
              <w:rPr>
                <w:color w:val="1f2937"/>
                <w:sz w:val="19"/>
                <w:szCs w:val="19"/>
              </w:rPr>
              <w:t xml:space="preserve">A firm's federal award history and profile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search_contractors</w:t>
            </w:r>
          </w:p>
        </w:tc>
        <w:tc>
          <w:tcPr>
            <w:tcMar>
              <w:top w:type="dxa" w:w="60"/>
              <w:left w:type="dxa" w:w="110"/>
              <w:bottom w:type="dxa" w:w="60"/>
              <w:right w:type="dxa" w:w="110"/>
            </w:tcMar>
          </w:tcPr>
          <w:p>
            <w:r>
              <w:rPr>
                <w:color w:val="1f2937"/>
                <w:sz w:val="19"/>
                <w:szCs w:val="19"/>
              </w:rPr>
              <w:t xml:space="preserve">The competitive landscape by keyword / NAICS / state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find_capable_contractors</w:t>
            </w:r>
          </w:p>
        </w:tc>
        <w:tc>
          <w:tcPr>
            <w:tcMar>
              <w:top w:type="dxa" w:w="60"/>
              <w:left w:type="dxa" w:w="110"/>
              <w:bottom w:type="dxa" w:w="60"/>
              <w:right w:type="dxa" w:w="110"/>
            </w:tcMar>
          </w:tcPr>
          <w:p>
            <w:r>
              <w:rPr>
                <w:color w:val="1f2937"/>
                <w:sz w:val="19"/>
                <w:szCs w:val="19"/>
              </w:rPr>
              <w:t xml:space="preserve">"Who can actually win this" — capable-firm scan</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get_contractor_award_history</w:t>
            </w:r>
          </w:p>
        </w:tc>
        <w:tc>
          <w:tcPr>
            <w:tcMar>
              <w:top w:type="dxa" w:w="60"/>
              <w:left w:type="dxa" w:w="110"/>
              <w:bottom w:type="dxa" w:w="60"/>
              <w:right w:type="dxa" w:w="110"/>
            </w:tcMar>
          </w:tcPr>
          <w:p>
            <w:r>
              <w:rPr>
                <w:color w:val="1f2937"/>
                <w:sz w:val="19"/>
                <w:szCs w:val="19"/>
              </w:rPr>
              <w:t xml:space="preserve">A named firm's obligations, trend, top agencies/NAICS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get_incumbent_financials</w:t>
            </w:r>
          </w:p>
        </w:tc>
        <w:tc>
          <w:tcPr>
            <w:tcMar>
              <w:top w:type="dxa" w:w="60"/>
              <w:left w:type="dxa" w:w="110"/>
              <w:bottom w:type="dxa" w:w="60"/>
              <w:right w:type="dxa" w:w="110"/>
            </w:tcMar>
          </w:tcPr>
          <w:p>
            <w:r>
              <w:rPr>
                <w:color w:val="1f2937"/>
                <w:sz w:val="19"/>
                <w:szCs w:val="19"/>
              </w:rPr>
              <w:t xml:space="preserve">Public-filer financials from SEC EDGAR (revenue, margin, 10-K)</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get_pricing_intel</w:t>
            </w:r>
          </w:p>
        </w:tc>
        <w:tc>
          <w:tcPr>
            <w:tcMar>
              <w:top w:type="dxa" w:w="60"/>
              <w:left w:type="dxa" w:w="110"/>
              <w:bottom w:type="dxa" w:w="60"/>
              <w:right w:type="dxa" w:w="110"/>
            </w:tcMar>
          </w:tcPr>
          <w:p>
            <w:r>
              <w:rPr>
                <w:color w:val="1f2937"/>
                <w:sz w:val="19"/>
                <w:szCs w:val="19"/>
              </w:rPr>
              <w:t xml:space="preserve">GSA CALC price-to-win labor rates (p25/p50/p75, small-vs-large gap)</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get_sblo_contact</w:t>
            </w:r>
          </w:p>
        </w:tc>
        <w:tc>
          <w:tcPr>
            <w:tcMar>
              <w:top w:type="dxa" w:w="60"/>
              <w:left w:type="dxa" w:w="110"/>
              <w:bottom w:type="dxa" w:w="60"/>
              <w:right w:type="dxa" w:w="110"/>
            </w:tcMar>
          </w:tcPr>
          <w:p>
            <w:r>
              <w:rPr>
                <w:color w:val="1f2937"/>
                <w:sz w:val="19"/>
                <w:szCs w:val="19"/>
              </w:rPr>
              <w:t xml:space="preserve">The Small Business Liaison Officer at a prime — the teaming front door</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lookup_sam_entity</w:t>
            </w:r>
          </w:p>
        </w:tc>
        <w:tc>
          <w:tcPr>
            <w:tcMar>
              <w:top w:type="dxa" w:w="60"/>
              <w:left w:type="dxa" w:w="110"/>
              <w:bottom w:type="dxa" w:w="60"/>
              <w:right w:type="dxa" w:w="110"/>
            </w:tcMar>
          </w:tcPr>
          <w:p>
            <w:r>
              <w:rPr>
                <w:color w:val="1f2937"/>
                <w:sz w:val="19"/>
                <w:szCs w:val="19"/>
              </w:rPr>
              <w:t xml:space="preserve">Live SAM registration (UEI/CAGE, status, certifications)</w:t>
            </w:r>
          </w:p>
        </w:tc>
      </w:tr>
    </w:tbl>
    <w:p>
      <w:pPr>
        <w:spacing w:after="120"/>
      </w:pPr>
    </w:p>
    <w:p>
      <w:pPr>
        <w:pStyle w:val="Heading3"/>
        <w:spacing w:after="120" w:before="260"/>
      </w:pPr>
      <w:r>
        <w:rPr>
          <w:b/>
          <w:bCs/>
          <w:color w:val="1f2937"/>
          <w:sz w:val="22"/>
          <w:szCs w:val="22"/>
        </w:rPr>
        <w:t xml:space="preserve">Agency &amp; award intelligence</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Tool</w:t>
            </w:r>
          </w:p>
        </w:tc>
        <w:tc>
          <w:tcPr>
            <w:shd w:fill="f1effa" w:val="clear"/>
            <w:tcMar>
              <w:top w:type="dxa" w:w="60"/>
              <w:left w:type="dxa" w:w="110"/>
              <w:bottom w:type="dxa" w:w="60"/>
              <w:right w:type="dxa" w:w="110"/>
            </w:tcMar>
          </w:tcPr>
          <w:p>
            <w:r>
              <w:rPr>
                <w:b/>
                <w:bCs/>
                <w:color w:val="1e3a8a"/>
                <w:sz w:val="19"/>
                <w:szCs w:val="19"/>
              </w:rPr>
              <w:t xml:space="preserve">What it answers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get_agency_intel</w:t>
            </w:r>
          </w:p>
        </w:tc>
        <w:tc>
          <w:tcPr>
            <w:tcMar>
              <w:top w:type="dxa" w:w="60"/>
              <w:left w:type="dxa" w:w="110"/>
              <w:bottom w:type="dxa" w:w="60"/>
              <w:right w:type="dxa" w:w="110"/>
            </w:tcMar>
          </w:tcPr>
          <w:p>
            <w:r>
              <w:rPr>
                <w:color w:val="1f2937"/>
                <w:sz w:val="19"/>
                <w:szCs w:val="19"/>
              </w:rPr>
              <w:t xml:space="preserve">Agency identity, pain points, and live obligations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get_agency_spending_detail</w:t>
            </w:r>
          </w:p>
        </w:tc>
        <w:tc>
          <w:tcPr>
            <w:tcMar>
              <w:top w:type="dxa" w:w="60"/>
              <w:left w:type="dxa" w:w="110"/>
              <w:bottom w:type="dxa" w:w="60"/>
              <w:right w:type="dxa" w:w="110"/>
            </w:tcMar>
          </w:tcPr>
          <w:p>
            <w:r>
              <w:rPr>
                <w:color w:val="1f2937"/>
                <w:sz w:val="19"/>
                <w:szCs w:val="19"/>
              </w:rPr>
              <w:t xml:space="preserve">Sub-agency (component) breakdown + set-aside distribution</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get_agency_budget_trends</w:t>
            </w:r>
          </w:p>
        </w:tc>
        <w:tc>
          <w:tcPr>
            <w:tcMar>
              <w:top w:type="dxa" w:w="60"/>
              <w:left w:type="dxa" w:w="110"/>
              <w:bottom w:type="dxa" w:w="60"/>
              <w:right w:type="dxa" w:w="110"/>
            </w:tcMar>
          </w:tcPr>
          <w:p>
            <w:r>
              <w:rPr>
                <w:color w:val="1f2937"/>
                <w:sz w:val="19"/>
                <w:szCs w:val="19"/>
              </w:rPr>
              <w:t xml:space="preserve">FY-over-FY discretionary budget-authority trend (growing / cut)</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get_award_detail</w:t>
            </w:r>
          </w:p>
        </w:tc>
        <w:tc>
          <w:tcPr>
            <w:tcMar>
              <w:top w:type="dxa" w:w="60"/>
              <w:left w:type="dxa" w:w="110"/>
              <w:bottom w:type="dxa" w:w="60"/>
              <w:right w:type="dxa" w:w="110"/>
            </w:tcMar>
          </w:tcPr>
          <w:p>
            <w:r>
              <w:rPr>
                <w:color w:val="1f2937"/>
                <w:sz w:val="19"/>
                <w:szCs w:val="19"/>
              </w:rPr>
              <w:t xml:space="preserve">Obligated-to-ceiling, parent IDV, period of performance, recipient</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find_predecessor_award</w:t>
            </w:r>
          </w:p>
        </w:tc>
        <w:tc>
          <w:tcPr>
            <w:tcMar>
              <w:top w:type="dxa" w:w="60"/>
              <w:left w:type="dxa" w:w="110"/>
              <w:bottom w:type="dxa" w:w="60"/>
              <w:right w:type="dxa" w:w="110"/>
            </w:tcMar>
          </w:tcPr>
          <w:p>
            <w:r>
              <w:rPr>
                <w:color w:val="1f2937"/>
                <w:sz w:val="19"/>
                <w:szCs w:val="19"/>
              </w:rPr>
              <w:t xml:space="preserve">The likely incumbent for an open opportunity</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get_regulatory_demand</w:t>
            </w:r>
          </w:p>
        </w:tc>
        <w:tc>
          <w:tcPr>
            <w:tcMar>
              <w:top w:type="dxa" w:w="60"/>
              <w:left w:type="dxa" w:w="110"/>
              <w:bottom w:type="dxa" w:w="60"/>
              <w:right w:type="dxa" w:w="110"/>
            </w:tcMar>
          </w:tcPr>
          <w:p>
            <w:r>
              <w:rPr>
                <w:color w:val="1f2937"/>
                <w:sz w:val="19"/>
                <w:szCs w:val="19"/>
              </w:rPr>
              <w:t xml:space="preserve">Federal Register signals — "demand before SAM," 6–18 months early</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lookup_federal_osbp</w:t>
            </w:r>
          </w:p>
        </w:tc>
        <w:tc>
          <w:tcPr>
            <w:tcMar>
              <w:top w:type="dxa" w:w="60"/>
              <w:left w:type="dxa" w:w="110"/>
              <w:bottom w:type="dxa" w:w="60"/>
              <w:right w:type="dxa" w:w="110"/>
            </w:tcMar>
          </w:tcPr>
          <w:p>
            <w:r>
              <w:rPr>
                <w:color w:val="1f2937"/>
                <w:sz w:val="19"/>
                <w:szCs w:val="19"/>
              </w:rPr>
              <w:t xml:space="preserve">The small-business front door (OSBP office + director) for a command</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search_agency_opps_by_office</w:t>
            </w:r>
          </w:p>
        </w:tc>
        <w:tc>
          <w:tcPr>
            <w:tcMar>
              <w:top w:type="dxa" w:w="60"/>
              <w:left w:type="dxa" w:w="110"/>
              <w:bottom w:type="dxa" w:w="60"/>
              <w:right w:type="dxa" w:w="110"/>
            </w:tcMar>
          </w:tcPr>
          <w:p>
            <w:r>
              <w:rPr>
                <w:color w:val="1f2937"/>
                <w:sz w:val="19"/>
                <w:szCs w:val="19"/>
              </w:rPr>
              <w:t xml:space="preserve">Open opportunities anchored to a </w:t>
            </w:r>
            <w:r>
              <w:rPr>
                <w:i/>
                <w:iCs/>
                <w:color w:val="1f2937"/>
                <w:sz w:val="19"/>
                <w:szCs w:val="19"/>
              </w:rPr>
              <w:t xml:space="preserve">specific</w:t>
            </w:r>
            <w:r>
              <w:rPr>
                <w:color w:val="1f2937"/>
                <w:sz w:val="19"/>
                <w:szCs w:val="19"/>
              </w:rPr>
              <w:t xml:space="preserve"> buying office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search_federal_contacts</w:t>
            </w:r>
          </w:p>
        </w:tc>
        <w:tc>
          <w:tcPr>
            <w:tcMar>
              <w:top w:type="dxa" w:w="60"/>
              <w:left w:type="dxa" w:w="110"/>
              <w:bottom w:type="dxa" w:w="60"/>
              <w:right w:type="dxa" w:w="110"/>
            </w:tcMar>
          </w:tcPr>
          <w:p>
            <w:r>
              <w:rPr>
                <w:color w:val="1f2937"/>
                <w:sz w:val="19"/>
                <w:szCs w:val="19"/>
              </w:rPr>
              <w:t xml:space="preserve">Named POCs at a specific buying office</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assess_market_depth</w:t>
            </w:r>
          </w:p>
        </w:tc>
        <w:tc>
          <w:tcPr>
            <w:tcMar>
              <w:top w:type="dxa" w:w="60"/>
              <w:left w:type="dxa" w:w="110"/>
              <w:bottom w:type="dxa" w:w="60"/>
              <w:right w:type="dxa" w:w="110"/>
            </w:tcMar>
          </w:tcPr>
          <w:p>
            <w:r>
              <w:rPr>
                <w:color w:val="1f2937"/>
                <w:sz w:val="19"/>
                <w:szCs w:val="19"/>
              </w:rPr>
              <w:t xml:space="preserve">Rule-of-Two capable-small-business count for a NAICS</w:t>
            </w:r>
          </w:p>
        </w:tc>
      </w:tr>
    </w:tbl>
    <w:p>
      <w:pPr>
        <w:spacing w:after="120"/>
      </w:pPr>
    </w:p>
    <w:p>
      <w:pPr>
        <w:pStyle w:val="Heading3"/>
        <w:spacing w:after="120" w:before="260"/>
      </w:pPr>
      <w:r>
        <w:rPr>
          <w:b/>
          <w:bCs/>
          <w:color w:val="1f2937"/>
          <w:sz w:val="22"/>
          <w:szCs w:val="22"/>
        </w:rPr>
        <w:t xml:space="preserve">Proprietary &amp; proposal</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Tool</w:t>
            </w:r>
          </w:p>
        </w:tc>
        <w:tc>
          <w:tcPr>
            <w:shd w:fill="f1effa" w:val="clear"/>
            <w:tcMar>
              <w:top w:type="dxa" w:w="60"/>
              <w:left w:type="dxa" w:w="110"/>
              <w:bottom w:type="dxa" w:w="60"/>
              <w:right w:type="dxa" w:w="110"/>
            </w:tcMar>
          </w:tcPr>
          <w:p>
            <w:r>
              <w:rPr>
                <w:b/>
                <w:bCs/>
                <w:color w:val="1e3a8a"/>
                <w:sz w:val="19"/>
                <w:szCs w:val="19"/>
              </w:rPr>
              <w:t xml:space="preserve">What it answers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get_winning_playbook</w:t>
            </w:r>
          </w:p>
        </w:tc>
        <w:tc>
          <w:tcPr>
            <w:tcMar>
              <w:top w:type="dxa" w:w="60"/>
              <w:left w:type="dxa" w:w="110"/>
              <w:bottom w:type="dxa" w:w="60"/>
              <w:right w:type="dxa" w:w="110"/>
            </w:tcMar>
          </w:tcPr>
          <w:p>
            <w:r>
              <w:rPr>
                <w:color w:val="1f2937"/>
                <w:sz w:val="19"/>
                <w:szCs w:val="19"/>
              </w:rPr>
              <w:t xml:space="preserve">Grounded "how to win this" coaching — </w:t>
            </w:r>
            <w:r>
              <w:rPr>
                <w:b/>
                <w:bCs/>
                <w:color w:val="1f2937"/>
                <w:sz w:val="19"/>
                <w:szCs w:val="19"/>
              </w:rPr>
              <w:t xml:space="preserve">the moat</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search_podcast_lessons</w:t>
            </w:r>
          </w:p>
        </w:tc>
        <w:tc>
          <w:tcPr>
            <w:tcMar>
              <w:top w:type="dxa" w:w="60"/>
              <w:left w:type="dxa" w:w="110"/>
              <w:bottom w:type="dxa" w:w="60"/>
              <w:right w:type="dxa" w:w="110"/>
            </w:tcMar>
          </w:tcPr>
          <w:p>
            <w:r>
              <w:rPr>
                <w:color w:val="1f2937"/>
                <w:sz w:val="19"/>
                <w:szCs w:val="19"/>
              </w:rPr>
              <w:t xml:space="preserve">Real lessons from contractor/agency podcast guests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scan_proposal_compliance</w:t>
            </w:r>
          </w:p>
        </w:tc>
        <w:tc>
          <w:tcPr>
            <w:tcMar>
              <w:top w:type="dxa" w:w="60"/>
              <w:left w:type="dxa" w:w="110"/>
              <w:bottom w:type="dxa" w:w="60"/>
              <w:right w:type="dxa" w:w="110"/>
            </w:tcMar>
          </w:tcPr>
          <w:p>
            <w:r>
              <w:rPr>
                <w:color w:val="1f2937"/>
                <w:sz w:val="19"/>
                <w:szCs w:val="19"/>
              </w:rPr>
              <w:t xml:space="preserve">Pre-submit disqualification scan (deadline, page limits, reps/certs)</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evaluate_bid_decision</w:t>
            </w:r>
          </w:p>
        </w:tc>
        <w:tc>
          <w:tcPr>
            <w:tcMar>
              <w:top w:type="dxa" w:w="60"/>
              <w:left w:type="dxa" w:w="110"/>
              <w:bottom w:type="dxa" w:w="60"/>
              <w:right w:type="dxa" w:w="110"/>
            </w:tcMar>
          </w:tcPr>
          <w:p>
            <w:r>
              <w:rPr>
                <w:color w:val="1f2937"/>
                <w:sz w:val="19"/>
                <w:szCs w:val="19"/>
              </w:rPr>
              <w:t xml:space="preserve">The 5-gate / 10-factor bid / no-bid framework, scored</w:t>
            </w:r>
          </w:p>
        </w:tc>
      </w:tr>
      <w:tr>
        <w:tc>
          <w:tcPr>
            <w:tcMar>
              <w:top w:type="dxa" w:w="60"/>
              <w:left w:type="dxa" w:w="110"/>
              <w:bottom w:type="dxa" w:w="60"/>
              <w:right w:type="dxa" w:w="110"/>
            </w:tcMar>
          </w:tcPr>
          <w:p>
            <w:r>
              <w:rPr>
                <w:rFonts w:ascii="Consolas" w:cs="Consolas" w:eastAsia="Consolas" w:hAnsi="Consolas"/>
                <w:color w:val="6d28d9"/>
                <w:sz w:val="19"/>
                <w:szCs w:val="19"/>
              </w:rPr>
              <w:t xml:space="preserve">derive_company_keywords</w:t>
            </w:r>
          </w:p>
        </w:tc>
        <w:tc>
          <w:tcPr>
            <w:tcMar>
              <w:top w:type="dxa" w:w="60"/>
              <w:left w:type="dxa" w:w="110"/>
              <w:bottom w:type="dxa" w:w="60"/>
              <w:right w:type="dxa" w:w="110"/>
            </w:tcMar>
          </w:tcPr>
          <w:p>
            <w:r>
              <w:rPr>
                <w:color w:val="1f2937"/>
                <w:sz w:val="19"/>
                <w:szCs w:val="19"/>
              </w:rPr>
              <w:t xml:space="preserve">A company's own words → the search keywords buyers use</w:t>
            </w:r>
          </w:p>
        </w:tc>
      </w:tr>
    </w:tbl>
    <w:p>
      <w:pPr>
        <w:spacing w:after="120"/>
      </w:pPr>
    </w:p>
    <w:p>
      <w:pPr>
        <w:pBdr>
          <w:bottom w:val="single" w:color="d1d5db" w:sz="6" w:space="8"/>
        </w:pBdr>
        <w:spacing w:after="160"/>
      </w:pPr>
    </w:p>
    <w:p>
      <w:pPr>
        <w:pStyle w:val="Heading2"/>
        <w:spacing w:after="120" w:before="260"/>
      </w:pPr>
      <w:r>
        <w:rPr>
          <w:b/>
          <w:bCs/>
          <w:color w:val="6d28d9"/>
          <w:sz w:val="28"/>
          <w:szCs w:val="28"/>
        </w:rPr>
        <w:t xml:space="preserve">The no-fabrication contract — why grounding </w:t>
      </w:r>
      <w:r>
        <w:rPr>
          <w:b/>
          <w:bCs/>
          <w:i/>
          <w:iCs/>
          <w:color w:val="6d28d9"/>
          <w:sz w:val="28"/>
          <w:szCs w:val="28"/>
        </w:rPr>
        <w:t xml:space="preserve">is</w:t>
      </w:r>
      <w:r>
        <w:rPr>
          <w:b/>
          <w:bCs/>
          <w:color w:val="6d28d9"/>
          <w:sz w:val="28"/>
          <w:szCs w:val="28"/>
        </w:rPr>
        <w:t xml:space="preserve"> the product</w:t>
      </w:r>
    </w:p>
    <w:p>
      <w:pPr>
        <w:spacing w:after="140"/>
        <w:jc w:val="left"/>
      </w:pPr>
      <w:r>
        <w:rPr>
          <w:color w:val="1f2937"/>
          <w:sz w:val="21"/>
          <w:szCs w:val="21"/>
        </w:rP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color w:val="1f2937"/>
          <w:sz w:val="21"/>
          <w:szCs w:val="21"/>
        </w:rPr>
        <w:t xml:space="preserve">`_meta { grounded, degraded }` always ships.</w:t>
      </w:r>
      <w:r>
        <w:rPr>
          <w:color w:val="1f2937"/>
          <w:sz w:val="21"/>
          <w:szCs w:val="21"/>
        </w:rPr>
        <w:t xml:space="preserve"> </w:t>
      </w:r>
      <w:r>
        <w:rPr>
          <w:rFonts w:ascii="Consolas" w:cs="Consolas" w:eastAsia="Consolas" w:hAnsi="Consolas"/>
          <w:color w:val="6d28d9"/>
          <w:sz w:val="21"/>
          <w:szCs w:val="21"/>
        </w:rPr>
        <w:t xml:space="preserve">grounded = true</w:t>
      </w:r>
      <w:r>
        <w:rPr>
          <w:color w:val="1f2937"/>
          <w:sz w:val="21"/>
          <w:szCs w:val="21"/>
        </w:rPr>
        <w:t xml:space="preserve"> means at least one real record came back. </w:t>
      </w:r>
      <w:r>
        <w:rPr>
          <w:rFonts w:ascii="Consolas" w:cs="Consolas" w:eastAsia="Consolas" w:hAnsi="Consolas"/>
          <w:color w:val="6d28d9"/>
          <w:sz w:val="21"/>
          <w:szCs w:val="21"/>
        </w:rPr>
        <w:t xml:space="preserve">grounded = false</w:t>
      </w:r>
      <w:r>
        <w:rPr>
          <w:color w:val="1f2937"/>
          <w:sz w:val="21"/>
          <w:szCs w:val="21"/>
        </w:rPr>
        <w:t xml:space="preserve"> means nothing matched — and the tool instructs the agent to say so, </w:t>
      </w:r>
      <w:r>
        <w:rPr>
          <w:b/>
          <w:bCs/>
          <w:color w:val="1f2937"/>
          <w:sz w:val="21"/>
          <w:szCs w:val="21"/>
        </w:rPr>
        <w:t xml:space="preserve">never</w:t>
      </w:r>
      <w:r>
        <w:rPr>
          <w:color w:val="1f2937"/>
          <w:sz w:val="21"/>
          <w:szCs w:val="21"/>
        </w:rPr>
        <w:t xml:space="preserve"> to invent.</w:t>
      </w:r>
    </w:p>
    <w:p>
      <w:pPr>
        <w:pStyle w:val="ListParagraph"/>
        <w:numPr>
          <w:ilvl w:val="0"/>
          <w:numId w:val="1"/>
        </w:numPr>
        <w:spacing w:after="60"/>
      </w:pPr>
      <w:r>
        <w:rPr>
          <w:b/>
          <w:bCs/>
          <w:color w:val="1f2937"/>
          <w:sz w:val="21"/>
          <w:szCs w:val="21"/>
        </w:rPr>
        <w:t xml:space="preserve">`degraded = true` is distinct from empty.</w:t>
      </w:r>
      <w:r>
        <w:rPr>
          <w:color w:val="1f2937"/>
          <w:sz w:val="21"/>
          <w:szCs w:val="21"/>
        </w:rPr>
        <w:t xml:space="preserve"> It means an upstream source </w:t>
      </w:r>
      <w:r>
        <w:rPr>
          <w:i/>
          <w:iCs/>
          <w:color w:val="1f2937"/>
          <w:sz w:val="21"/>
          <w:szCs w:val="21"/>
        </w:rPr>
        <w:t xml:space="preserve">errored</w:t>
      </w:r>
      <w:r>
        <w:rPr>
          <w:color w:val="1f2937"/>
          <w:sz w:val="21"/>
          <w:szCs w:val="21"/>
        </w:rPr>
        <w:t xml:space="preserve"> (surfaced honestly as "unavailable"), not that the answer is $0.</w:t>
      </w:r>
    </w:p>
    <w:p>
      <w:pPr>
        <w:pStyle w:val="ListParagraph"/>
        <w:numPr>
          <w:ilvl w:val="0"/>
          <w:numId w:val="1"/>
        </w:numPr>
        <w:spacing w:after="60"/>
      </w:pPr>
      <w:r>
        <w:rPr>
          <w:b/>
          <w:bCs/>
          <w:color w:val="1f2937"/>
          <w:sz w:val="21"/>
          <w:szCs w:val="21"/>
        </w:rPr>
        <w:t xml:space="preserve">Data first.</w:t>
      </w:r>
      <w:r>
        <w:rPr>
          <w:color w:val="1f2937"/>
          <w:sz w:val="21"/>
          <w:szCs w:val="21"/>
        </w:rPr>
        <w:t xml:space="preserve"> The raw grounded data is the product. Optional narration is off by default — Mindy hands the agent facts, not a pre-written story.</w:t>
      </w:r>
    </w:p>
    <w:p>
      <w:pPr>
        <w:spacing w:after="140"/>
        <w:jc w:val="left"/>
      </w:pPr>
      <w:r>
        <w:rPr>
          <w:b/>
          <w:bCs/>
          <w:color w:val="1f2937"/>
          <w:sz w:val="21"/>
          <w:szCs w:val="21"/>
        </w:rPr>
        <w:t xml:space="preserve">Worked example.</w:t>
      </w:r>
      <w:r>
        <w:rPr>
          <w:color w:val="1f2937"/>
          <w:sz w:val="21"/>
          <w:szCs w:val="21"/>
        </w:rPr>
        <w:t xml:space="preserve"> An agent calls </w:t>
      </w:r>
      <w:r>
        <w:rPr>
          <w:rFonts w:ascii="Consolas" w:cs="Consolas" w:eastAsia="Consolas" w:hAnsi="Consolas"/>
          <w:color w:val="6d28d9"/>
          <w:sz w:val="21"/>
          <w:szCs w:val="21"/>
        </w:rPr>
        <w:t xml:space="preserve">get_incumbent_financials("Acme Integrated LLC")</w:t>
      </w:r>
      <w:r>
        <w:rPr>
          <w:color w:val="1f2937"/>
          <w:sz w:val="21"/>
          <w:szCs w:val="21"/>
        </w:rPr>
        <w:t xml:space="preserve">. Acme is a private contractor with no SEC filing. A naïve tool would hallucinate a revenue figure. Mindy returns </w:t>
      </w:r>
      <w:r>
        <w:rPr>
          <w:rFonts w:ascii="Consolas" w:cs="Consolas" w:eastAsia="Consolas" w:hAnsi="Consolas"/>
          <w:color w:val="6d28d9"/>
          <w:sz w:val="21"/>
          <w:szCs w:val="21"/>
        </w:rPr>
        <w:t xml:space="preserve">grounded: false</w:t>
      </w:r>
      <w:r>
        <w:rPr>
          <w:color w:val="1f2937"/>
          <w:sz w:val="21"/>
          <w:szCs w:val="21"/>
        </w:rPr>
        <w:t xml:space="preserve"> and the honest instruction: </w:t>
      </w:r>
      <w:r>
        <w:rPr>
          <w:i/>
          <w:iCs/>
          <w:color w:val="1f2937"/>
          <w:sz w:val="21"/>
          <w:szCs w:val="21"/>
        </w:rPr>
        <w:t xml:space="preserve">no EDGAR filing exists — the company is likely private; do not invent financials; use the contractor-profile tool for its federal award history instead.</w:t>
      </w:r>
      <w:r>
        <w:rPr>
          <w:color w:val="1f2937"/>
          <w:sz w:val="21"/>
          <w:szCs w:val="21"/>
        </w:rPr>
        <w:t xml:space="preserve"> The agent tells the truth because the data told the truth.</w:t>
      </w:r>
    </w:p>
    <w:p>
      <w:pPr>
        <w:pBdr>
          <w:bottom w:val="single" w:color="d1d5db" w:sz="6" w:space="8"/>
        </w:pBdr>
        <w:spacing w:after="160"/>
      </w:pPr>
    </w:p>
    <w:p>
      <w:pPr>
        <w:pStyle w:val="Heading2"/>
        <w:spacing w:after="120" w:before="260"/>
      </w:pPr>
      <w:r>
        <w:rPr>
          <w:b/>
          <w:bCs/>
          <w:color w:val="6d28d9"/>
          <w:sz w:val="28"/>
          <w:szCs w:val="28"/>
        </w:rPr>
        <w:t xml:space="preserve">Office-level precision — the buying office beneath the department label</w:t>
      </w:r>
    </w:p>
    <w:p>
      <w:pPr>
        <w:spacing w:after="140"/>
        <w:jc w:val="left"/>
      </w:pPr>
      <w:r>
        <w:rPr>
          <w:color w:val="1f2937"/>
          <w:sz w:val="21"/>
          <w:szCs w:val="21"/>
        </w:rP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6d28d9"/>
          <w:sz w:val="21"/>
          <w:szCs w:val="21"/>
        </w:rPr>
        <w:t xml:space="preserve">osd.osbp@mail.mil</w:t>
      </w:r>
      <w:r>
        <w:rPr>
          <w:color w:val="1f2937"/>
          <w:sz w:val="21"/>
          <w:szCs w:val="21"/>
        </w:rPr>
        <w:t xml:space="preserve"> mailbox.</w:t>
      </w:r>
    </w:p>
    <w:p>
      <w:pPr>
        <w:spacing w:after="140"/>
        <w:jc w:val="left"/>
      </w:pPr>
      <w:r>
        <w:rPr>
          <w:color w:val="1f2937"/>
          <w:sz w:val="21"/>
          <w:szCs w:val="21"/>
        </w:rPr>
        <w:t xml:space="preserve">Mindy resolves the </w:t>
      </w:r>
      <w:r>
        <w:rPr>
          <w:b/>
          <w:bCs/>
          <w:color w:val="1f2937"/>
          <w:sz w:val="21"/>
          <w:szCs w:val="21"/>
        </w:rPr>
        <w:t xml:space="preserve">real buying office</w:t>
      </w:r>
      <w:r>
        <w:rPr>
          <w:color w:val="1f2937"/>
          <w:sz w:val="21"/>
          <w:szCs w:val="21"/>
        </w:rPr>
        <w:t xml:space="preserve"> beneath that label. Ask for the contacts at the Army Corps of Engineers Los Angeles District and Mindy returns </w:t>
      </w:r>
      <w:r>
        <w:rPr>
          <w:i/>
          <w:iCs/>
          <w:color w:val="1f2937"/>
          <w:sz w:val="21"/>
          <w:szCs w:val="21"/>
        </w:rPr>
        <w:t xml:space="preserve">that office's own</w:t>
      </w:r>
      <w:r>
        <w:rPr>
          <w:color w:val="1f2937"/>
          <w:sz w:val="21"/>
          <w:szCs w:val="21"/>
        </w:rPr>
        <w:t xml:space="preserve"> people — eleven </w:t>
      </w:r>
      <w:r>
        <w:rPr>
          <w:rFonts w:ascii="Consolas" w:cs="Consolas" w:eastAsia="Consolas" w:hAnsi="Consolas"/>
          <w:color w:val="6d28d9"/>
          <w:sz w:val="21"/>
          <w:szCs w:val="21"/>
        </w:rPr>
        <w:t xml:space="preserve">@usace.army.mil</w:t>
      </w:r>
      <w:r>
        <w:rPr>
          <w:color w:val="1f2937"/>
          <w:sz w:val="21"/>
          <w:szCs w:val="21"/>
        </w:rP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1d5db" w:sz="6" w:space="8"/>
        </w:pBdr>
        <w:spacing w:after="160"/>
      </w:pPr>
    </w:p>
    <w:p>
      <w:pPr>
        <w:pStyle w:val="Heading2"/>
        <w:spacing w:after="120" w:before="260"/>
      </w:pPr>
      <w:r>
        <w:rPr>
          <w:b/>
          <w:bCs/>
          <w:color w:val="6d28d9"/>
          <w:sz w:val="28"/>
          <w:szCs w:val="28"/>
        </w:rPr>
        <w:t xml:space="preserve">Pricing — credit-metered, pay only for a successful call</w:t>
      </w:r>
    </w:p>
    <w:p>
      <w:pPr>
        <w:spacing w:after="140"/>
        <w:jc w:val="left"/>
      </w:pPr>
      <w:r>
        <w:rPr>
          <w:color w:val="1f2937"/>
          <w:sz w:val="21"/>
          <w:szCs w:val="21"/>
        </w:rPr>
        <w:t xml:space="preserve">No subscription required. An agent connects, and its owner buys prepaid credits; each call debits on success. A failed or empty call costs nothing.</w:t>
      </w:r>
    </w:p>
    <w:p>
      <w:pPr>
        <w:pStyle w:val="ListParagraph"/>
        <w:numPr>
          <w:ilvl w:val="0"/>
          <w:numId w:val="1"/>
        </w:numPr>
        <w:spacing w:after="60"/>
      </w:pPr>
      <w:r>
        <w:rPr>
          <w:b/>
          <w:bCs/>
          <w:color w:val="1f2937"/>
          <w:sz w:val="21"/>
          <w:szCs w:val="21"/>
        </w:rPr>
        <w:t xml:space="preserve">100 free credits on your first connect</w:t>
      </w:r>
      <w:r>
        <w:rPr>
          <w:color w:val="1f2937"/>
          <w:sz w:val="21"/>
          <w:szCs w:val="21"/>
        </w:rPr>
        <w:t xml:space="preserve"> — roughly one real evaluation, so an agent can prove value before anyone pays.</w:t>
      </w:r>
    </w:p>
    <w:p>
      <w:pPr>
        <w:pStyle w:val="ListParagraph"/>
        <w:numPr>
          <w:ilvl w:val="0"/>
          <w:numId w:val="1"/>
        </w:numPr>
        <w:spacing w:after="60"/>
      </w:pPr>
      <w:r>
        <w:rPr>
          <w:b/>
          <w:bCs/>
          <w:color w:val="1f2937"/>
          <w:sz w:val="21"/>
          <w:szCs w:val="21"/>
        </w:rPr>
        <w:t xml:space="preserve">Debit-on-success only.</w:t>
      </w:r>
      <w:r>
        <w:rPr>
          <w:color w:val="1f2937"/>
          <w:sz w:val="21"/>
          <w:szCs w:val="21"/>
        </w:rPr>
        <w:t xml:space="preserve"> The credit ledger is atomic at the database layer — a hundred concurrent calls can't corrupt a balance, and a balance never goes negative.</w:t>
      </w:r>
    </w:p>
    <w:p>
      <w:pPr>
        <w:pStyle w:val="ListParagraph"/>
        <w:numPr>
          <w:ilvl w:val="0"/>
          <w:numId w:val="1"/>
        </w:numPr>
        <w:spacing w:after="60"/>
      </w:pPr>
      <w:r>
        <w:rPr>
          <w:b/>
          <w:bCs/>
          <w:color w:val="1f2937"/>
          <w:sz w:val="21"/>
          <w:szCs w:val="21"/>
        </w:rPr>
        <w:t xml:space="preserve">Prepaid packs</w:t>
      </w:r>
      <w:r>
        <w:rPr>
          <w:color w:val="1f2937"/>
          <w:sz w:val="21"/>
          <w:szCs w:val="21"/>
        </w:rPr>
        <w:t xml:space="preserve"> for one-time top-ups; </w:t>
      </w:r>
      <w:r>
        <w:rPr>
          <w:b/>
          <w:bCs/>
          <w:color w:val="1f2937"/>
          <w:sz w:val="21"/>
          <w:szCs w:val="21"/>
        </w:rPr>
        <w:t xml:space="preserve">Pro subscribers get a monthly 1,000-credit allowance.</w:t>
      </w:r>
    </w:p>
    <w:p>
      <w:pPr>
        <w:spacing w:after="140"/>
        <w:jc w:val="left"/>
      </w:pPr>
      <w:r>
        <w:rPr>
          <w:color w:val="1f2937"/>
          <w:sz w:val="21"/>
          <w:szCs w:val="21"/>
        </w:rPr>
        <w:t xml:space="preserve">Representative prices (credits per successful call):</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Price</w:t>
            </w:r>
          </w:p>
        </w:tc>
        <w:tc>
          <w:tcPr>
            <w:shd w:fill="f1effa" w:val="clear"/>
            <w:tcMar>
              <w:top w:type="dxa" w:w="60"/>
              <w:left w:type="dxa" w:w="110"/>
              <w:bottom w:type="dxa" w:w="60"/>
              <w:right w:type="dxa" w:w="110"/>
            </w:tcMar>
          </w:tcPr>
          <w:p>
            <w:r>
              <w:rPr>
                <w:b/>
                <w:bCs/>
                <w:color w:val="1e3a8a"/>
                <w:sz w:val="19"/>
                <w:szCs w:val="19"/>
              </w:rPr>
              <w:t xml:space="preserve">Tools</w:t>
            </w:r>
          </w:p>
        </w:tc>
      </w:tr>
      <w:tr>
        <w:tc>
          <w:tcPr>
            <w:tcMar>
              <w:top w:type="dxa" w:w="60"/>
              <w:left w:type="dxa" w:w="110"/>
              <w:bottom w:type="dxa" w:w="60"/>
              <w:right w:type="dxa" w:w="110"/>
            </w:tcMar>
          </w:tcPr>
          <w:p>
            <w:r>
              <w:rPr>
                <w:b/>
                <w:bCs/>
                <w:color w:val="1f2937"/>
                <w:sz w:val="19"/>
                <w:szCs w:val="19"/>
              </w:rPr>
              <w:t xml:space="preserve">1 credit</w:t>
            </w:r>
          </w:p>
        </w:tc>
        <w:tc>
          <w:tcPr>
            <w:tcMar>
              <w:top w:type="dxa" w:w="60"/>
              <w:left w:type="dxa" w:w="110"/>
              <w:bottom w:type="dxa" w:w="60"/>
              <w:right w:type="dxa" w:w="110"/>
            </w:tcMar>
          </w:tcPr>
          <w:p>
            <w:r>
              <w:rPr>
                <w:color w:val="1f2937"/>
                <w:sz w:val="19"/>
                <w:szCs w:val="19"/>
              </w:rPr>
              <w:t xml:space="preserve">Most lookups — opportunity search, pricing intel, agency intel, OSBP + SBLO contacts, keyword coverage, compliance scan, bid/no-bid</w:t>
            </w:r>
          </w:p>
        </w:tc>
      </w:tr>
      <w:tr>
        <w:tc>
          <w:tcPr>
            <w:tcMar>
              <w:top w:type="dxa" w:w="60"/>
              <w:left w:type="dxa" w:w="110"/>
              <w:bottom w:type="dxa" w:w="60"/>
              <w:right w:type="dxa" w:w="110"/>
            </w:tcMar>
          </w:tcPr>
          <w:p>
            <w:r>
              <w:rPr>
                <w:b/>
                <w:bCs/>
                <w:color w:val="1f2937"/>
                <w:sz w:val="19"/>
                <w:szCs w:val="19"/>
              </w:rPr>
              <w:t xml:space="preserve">2 credits</w:t>
            </w:r>
          </w:p>
        </w:tc>
        <w:tc>
          <w:tcPr>
            <w:tcMar>
              <w:top w:type="dxa" w:w="60"/>
              <w:left w:type="dxa" w:w="110"/>
              <w:bottom w:type="dxa" w:w="60"/>
              <w:right w:type="dxa" w:w="110"/>
            </w:tcMar>
          </w:tcPr>
          <w:p>
            <w:r>
              <w:rPr>
                <w:color w:val="1f2937"/>
                <w:sz w:val="19"/>
                <w:szCs w:val="19"/>
              </w:rPr>
              <w:t xml:space="preserve">Deeper reads — incumbent financials, award detail, predecessor trace, competitive landscape, agency spending breakdown, buying-office roster</w:t>
            </w:r>
          </w:p>
        </w:tc>
      </w:tr>
      <w:tr>
        <w:tc>
          <w:tcPr>
            <w:tcMar>
              <w:top w:type="dxa" w:w="60"/>
              <w:left w:type="dxa" w:w="110"/>
              <w:bottom w:type="dxa" w:w="60"/>
              <w:right w:type="dxa" w:w="110"/>
            </w:tcMar>
          </w:tcPr>
          <w:p>
            <w:r>
              <w:rPr>
                <w:b/>
                <w:bCs/>
                <w:color w:val="1f2937"/>
                <w:sz w:val="19"/>
                <w:szCs w:val="19"/>
              </w:rPr>
              <w:t xml:space="preserve">3 credits</w:t>
            </w:r>
          </w:p>
        </w:tc>
        <w:tc>
          <w:tcPr>
            <w:tcMar>
              <w:top w:type="dxa" w:w="60"/>
              <w:left w:type="dxa" w:w="110"/>
              <w:bottom w:type="dxa" w:w="60"/>
              <w:right w:type="dxa" w:w="110"/>
            </w:tcMar>
          </w:tcPr>
          <w:p>
            <w:r>
              <w:rPr>
                <w:color w:val="1f2937"/>
                <w:sz w:val="19"/>
                <w:szCs w:val="19"/>
              </w:rPr>
              <w:t xml:space="preserve">Solicitation documents (fetches + extracts full SOW/PWS on demand)</w:t>
            </w:r>
          </w:p>
        </w:tc>
      </w:tr>
      <w:tr>
        <w:tc>
          <w:tcPr>
            <w:tcMar>
              <w:top w:type="dxa" w:w="60"/>
              <w:left w:type="dxa" w:w="110"/>
              <w:bottom w:type="dxa" w:w="60"/>
              <w:right w:type="dxa" w:w="110"/>
            </w:tcMar>
          </w:tcPr>
          <w:p>
            <w:r>
              <w:rPr>
                <w:b/>
                <w:bCs/>
                <w:color w:val="1f2937"/>
                <w:sz w:val="19"/>
                <w:szCs w:val="19"/>
              </w:rPr>
              <w:t xml:space="preserve">5 credits</w:t>
            </w:r>
          </w:p>
        </w:tc>
        <w:tc>
          <w:tcPr>
            <w:tcMar>
              <w:top w:type="dxa" w:w="60"/>
              <w:left w:type="dxa" w:w="110"/>
              <w:bottom w:type="dxa" w:w="60"/>
              <w:right w:type="dxa" w:w="110"/>
            </w:tcMar>
          </w:tcPr>
          <w:p>
            <w:r>
              <w:rPr>
                <w:color w:val="1f2937"/>
                <w:sz w:val="19"/>
                <w:szCs w:val="19"/>
              </w:rPr>
              <w:t xml:space="preserve">Contractor deep-dive profile (live data scan)</w:t>
            </w:r>
          </w:p>
        </w:tc>
      </w:tr>
      <w:tr>
        <w:tc>
          <w:tcPr>
            <w:tcMar>
              <w:top w:type="dxa" w:w="60"/>
              <w:left w:type="dxa" w:w="110"/>
              <w:bottom w:type="dxa" w:w="60"/>
              <w:right w:type="dxa" w:w="110"/>
            </w:tcMar>
          </w:tcPr>
          <w:p>
            <w:r>
              <w:rPr>
                <w:b/>
                <w:bCs/>
                <w:color w:val="1f2937"/>
                <w:sz w:val="19"/>
                <w:szCs w:val="19"/>
              </w:rPr>
              <w:t xml:space="preserve">25 credits</w:t>
            </w:r>
          </w:p>
        </w:tc>
        <w:tc>
          <w:tcPr>
            <w:tcMar>
              <w:top w:type="dxa" w:w="60"/>
              <w:left w:type="dxa" w:w="110"/>
              <w:bottom w:type="dxa" w:w="60"/>
              <w:right w:type="dxa" w:w="110"/>
            </w:tcMar>
          </w:tcPr>
          <w:p>
            <w:r>
              <w:rPr>
                <w:color w:val="1f2937"/>
                <w:sz w:val="19"/>
                <w:szCs w:val="19"/>
              </w:rPr>
              <w:t xml:space="preserve">"Who can win this" capable-contractor scan (the heaviest compute)</w:t>
            </w:r>
          </w:p>
        </w:tc>
      </w:tr>
      <w:tr>
        <w:tc>
          <w:tcPr>
            <w:tcMar>
              <w:top w:type="dxa" w:w="60"/>
              <w:left w:type="dxa" w:w="110"/>
              <w:bottom w:type="dxa" w:w="60"/>
              <w:right w:type="dxa" w:w="110"/>
            </w:tcMar>
          </w:tcPr>
          <w:p>
            <w:r>
              <w:rPr>
                <w:b/>
                <w:bCs/>
                <w:color w:val="1f2937"/>
                <w:sz w:val="19"/>
                <w:szCs w:val="19"/>
              </w:rPr>
              <w:t xml:space="preserve">Free</w:t>
            </w:r>
          </w:p>
        </w:tc>
        <w:tc>
          <w:tcPr>
            <w:tcMar>
              <w:top w:type="dxa" w:w="60"/>
              <w:left w:type="dxa" w:w="110"/>
              <w:bottom w:type="dxa" w:w="60"/>
              <w:right w:type="dxa" w:w="110"/>
            </w:tcMar>
          </w:tcPr>
          <w:p>
            <w:r>
              <w:rPr>
                <w:rFonts w:ascii="Consolas" w:cs="Consolas" w:eastAsia="Consolas" w:hAnsi="Consolas"/>
                <w:color w:val="6d28d9"/>
                <w:sz w:val="19"/>
                <w:szCs w:val="19"/>
              </w:rPr>
              <w:t xml:space="preserve">get_balance</w:t>
            </w:r>
          </w:p>
        </w:tc>
      </w:tr>
    </w:tbl>
    <w:p>
      <w:pPr>
        <w:spacing w:after="120"/>
      </w:pPr>
    </w:p>
    <w:p>
      <w:pPr>
        <w:pBdr>
          <w:bottom w:val="single" w:color="d1d5db" w:sz="6" w:space="8"/>
        </w:pBdr>
        <w:spacing w:after="160"/>
      </w:pPr>
    </w:p>
    <w:p>
      <w:pPr>
        <w:pStyle w:val="Heading2"/>
        <w:spacing w:after="120" w:before="260"/>
      </w:pPr>
      <w:r>
        <w:rPr>
          <w:b/>
          <w:bCs/>
          <w:color w:val="6d28d9"/>
          <w:sz w:val="28"/>
          <w:szCs w:val="28"/>
        </w:rPr>
        <w:t xml:space="preserve">Connect in minutes — keyless</w:t>
      </w:r>
    </w:p>
    <w:p>
      <w:pPr>
        <w:spacing w:after="140"/>
        <w:jc w:val="left"/>
      </w:pPr>
      <w:r>
        <w:rPr>
          <w:color w:val="1f2937"/>
          <w:sz w:val="21"/>
          <w:szCs w:val="21"/>
        </w:rPr>
        <w:t xml:space="preserve">Add one endpoint to Claude, Cursor, or your own MCP client and sign in through your browser. No API key to copy.</w:t>
      </w:r>
    </w:p>
    <w:p>
      <w:pPr>
        <w:shd w:fill="0b1020" w:val="clear"/>
        <w:spacing w:after="160" w:before="60"/>
      </w:pPr>
      <w:r>
        <w:rPr>
          <w:rFonts w:ascii="Consolas" w:cs="Consolas" w:eastAsia="Consolas" w:hAnsi="Consolas"/>
          <w:color w:val="7ee7c7"/>
          <w:sz w:val="19"/>
          <w:szCs w:val="19"/>
        </w:rPr>
        <w:t xml:space="preserve">https://getmindy.ai/mcp/mcp</w:t>
      </w:r>
    </w:p>
    <w:p>
      <w:pPr>
        <w:spacing w:after="140"/>
        <w:jc w:val="left"/>
      </w:pPr>
      <w:r>
        <w:rPr>
          <w:color w:val="1f2937"/>
          <w:sz w:val="21"/>
          <w:szCs w:val="21"/>
        </w:rPr>
        <w:t xml:space="preserve">The default connect path is </w:t>
      </w:r>
      <w:r>
        <w:rPr>
          <w:b/>
          <w:bCs/>
          <w:color w:val="1f2937"/>
          <w:sz w:val="21"/>
          <w:szCs w:val="21"/>
        </w:rPr>
        <w:t xml:space="preserve">keyless OAuth 2.1</w:t>
      </w:r>
      <w:r>
        <w:rPr>
          <w:color w:val="1f2937"/>
          <w:sz w:val="21"/>
          <w:szCs w:val="21"/>
        </w:rP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6d28d9"/>
          <w:sz w:val="21"/>
          <w:szCs w:val="21"/>
        </w:rPr>
        <w:t xml:space="preserve">getmindy.ai/mcp</w:t>
      </w:r>
      <w:r>
        <w:rPr>
          <w:color w:val="1f2937"/>
          <w:sz w:val="21"/>
          <w:szCs w:val="21"/>
        </w:rPr>
        <w:t xml:space="preserve"> and send it as a bearer token instead.</w:t>
      </w:r>
    </w:p>
    <w:p>
      <w:pPr>
        <w:pBdr>
          <w:bottom w:val="single" w:color="d1d5db" w:sz="6" w:space="8"/>
        </w:pBdr>
        <w:spacing w:after="160"/>
      </w:pPr>
    </w:p>
    <w:p>
      <w:pPr>
        <w:pStyle w:val="Heading2"/>
        <w:spacing w:after="120" w:before="260"/>
      </w:pPr>
      <w:r>
        <w:rPr>
          <w:b/>
          <w:bCs/>
          <w:color w:val="6d28d9"/>
          <w:sz w:val="28"/>
          <w:szCs w:val="28"/>
        </w:rPr>
        <w:t xml:space="preserve">The data behind the tools</w:t>
      </w:r>
    </w:p>
    <w:p>
      <w:pPr>
        <w:spacing w:after="140"/>
        <w:jc w:val="left"/>
      </w:pPr>
      <w:r>
        <w:rPr>
          <w:color w:val="1f2937"/>
          <w:sz w:val="21"/>
          <w:szCs w:val="21"/>
        </w:rPr>
        <w:t xml:space="preserve">Every figure Mindy returns traces to a real source. That's a rule, not a marketing line — provenance is documented for every tool.</w:t>
      </w: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shd w:fill="f1effa" w:val="clear"/>
            <w:tcMar>
              <w:top w:type="dxa" w:w="60"/>
              <w:left w:type="dxa" w:w="110"/>
              <w:bottom w:type="dxa" w:w="60"/>
              <w:right w:type="dxa" w:w="110"/>
            </w:tcMar>
          </w:tcPr>
          <w:p>
            <w:r>
              <w:rPr>
                <w:b/>
                <w:bCs/>
                <w:color w:val="1e3a8a"/>
                <w:sz w:val="19"/>
                <w:szCs w:val="19"/>
              </w:rPr>
              <w:t xml:space="preserve">Source</w:t>
            </w:r>
          </w:p>
        </w:tc>
        <w:tc>
          <w:tcPr>
            <w:shd w:fill="f1effa" w:val="clear"/>
            <w:tcMar>
              <w:top w:type="dxa" w:w="60"/>
              <w:left w:type="dxa" w:w="110"/>
              <w:bottom w:type="dxa" w:w="60"/>
              <w:right w:type="dxa" w:w="110"/>
            </w:tcMar>
          </w:tcPr>
          <w:p>
            <w:r>
              <w:rPr>
                <w:b/>
                <w:bCs/>
                <w:color w:val="1e3a8a"/>
                <w:sz w:val="19"/>
                <w:szCs w:val="19"/>
              </w:rPr>
              <w:t xml:space="preserve">Powers</w:t>
            </w:r>
          </w:p>
        </w:tc>
      </w:tr>
      <w:tr>
        <w:tc>
          <w:tcPr>
            <w:tcMar>
              <w:top w:type="dxa" w:w="60"/>
              <w:left w:type="dxa" w:w="110"/>
              <w:bottom w:type="dxa" w:w="60"/>
              <w:right w:type="dxa" w:w="110"/>
            </w:tcMar>
          </w:tcPr>
          <w:p>
            <w:r>
              <w:rPr>
                <w:b/>
                <w:bCs/>
                <w:color w:val="1f2937"/>
                <w:sz w:val="19"/>
                <w:szCs w:val="19"/>
              </w:rPr>
              <w:t xml:space="preserve">SAM.gov</w:t>
            </w:r>
          </w:p>
        </w:tc>
        <w:tc>
          <w:tcPr>
            <w:tcMar>
              <w:top w:type="dxa" w:w="60"/>
              <w:left w:type="dxa" w:w="110"/>
              <w:bottom w:type="dxa" w:w="60"/>
              <w:right w:type="dxa" w:w="110"/>
            </w:tcMar>
          </w:tcPr>
          <w:p>
            <w:r>
              <w:rPr>
                <w:color w:val="1f2937"/>
                <w:sz w:val="19"/>
                <w:szCs w:val="19"/>
              </w:rPr>
              <w:t xml:space="preserve">Open solicitations, buying-office POCs, entity registrations</w:t>
            </w:r>
          </w:p>
        </w:tc>
      </w:tr>
      <w:tr>
        <w:tc>
          <w:tcPr>
            <w:tcMar>
              <w:top w:type="dxa" w:w="60"/>
              <w:left w:type="dxa" w:w="110"/>
              <w:bottom w:type="dxa" w:w="60"/>
              <w:right w:type="dxa" w:w="110"/>
            </w:tcMar>
          </w:tcPr>
          <w:p>
            <w:r>
              <w:rPr>
                <w:b/>
                <w:bCs/>
                <w:color w:val="1f2937"/>
                <w:sz w:val="19"/>
                <w:szCs w:val="19"/>
              </w:rPr>
              <w:t xml:space="preserve">USASpending.gov</w:t>
            </w:r>
          </w:p>
        </w:tc>
        <w:tc>
          <w:tcPr>
            <w:tcMar>
              <w:top w:type="dxa" w:w="60"/>
              <w:left w:type="dxa" w:w="110"/>
              <w:bottom w:type="dxa" w:w="60"/>
              <w:right w:type="dxa" w:w="110"/>
            </w:tcMar>
          </w:tcPr>
          <w:p>
            <w:r>
              <w:rPr>
                <w:color w:val="1f2937"/>
                <w:sz w:val="19"/>
                <w:szCs w:val="19"/>
              </w:rPr>
              <w:t xml:space="preserve">Award detail, agency &amp; component spending, recompetes, IDVs</w:t>
            </w:r>
          </w:p>
        </w:tc>
      </w:tr>
      <w:tr>
        <w:tc>
          <w:tcPr>
            <w:tcMar>
              <w:top w:type="dxa" w:w="60"/>
              <w:left w:type="dxa" w:w="110"/>
              <w:bottom w:type="dxa" w:w="60"/>
              <w:right w:type="dxa" w:w="110"/>
            </w:tcMar>
          </w:tcPr>
          <w:p>
            <w:r>
              <w:rPr>
                <w:b/>
                <w:bCs/>
                <w:color w:val="1f2937"/>
                <w:sz w:val="19"/>
                <w:szCs w:val="19"/>
              </w:rPr>
              <w:t xml:space="preserve">SEC EDGAR</w:t>
            </w:r>
          </w:p>
        </w:tc>
        <w:tc>
          <w:tcPr>
            <w:tcMar>
              <w:top w:type="dxa" w:w="60"/>
              <w:left w:type="dxa" w:w="110"/>
              <w:bottom w:type="dxa" w:w="60"/>
              <w:right w:type="dxa" w:w="110"/>
            </w:tcMar>
          </w:tcPr>
          <w:p>
            <w:r>
              <w:rPr>
                <w:color w:val="1f2937"/>
                <w:sz w:val="19"/>
                <w:szCs w:val="19"/>
              </w:rPr>
              <w:t xml:space="preserve">Public-filer incumbent financials</w:t>
            </w:r>
          </w:p>
        </w:tc>
      </w:tr>
      <w:tr>
        <w:tc>
          <w:tcPr>
            <w:tcMar>
              <w:top w:type="dxa" w:w="60"/>
              <w:left w:type="dxa" w:w="110"/>
              <w:bottom w:type="dxa" w:w="60"/>
              <w:right w:type="dxa" w:w="110"/>
            </w:tcMar>
          </w:tcPr>
          <w:p>
            <w:r>
              <w:rPr>
                <w:b/>
                <w:bCs/>
                <w:color w:val="1f2937"/>
                <w:sz w:val="19"/>
                <w:szCs w:val="19"/>
              </w:rPr>
              <w:t xml:space="preserve">Federal Register</w:t>
            </w:r>
          </w:p>
        </w:tc>
        <w:tc>
          <w:tcPr>
            <w:tcMar>
              <w:top w:type="dxa" w:w="60"/>
              <w:left w:type="dxa" w:w="110"/>
              <w:bottom w:type="dxa" w:w="60"/>
              <w:right w:type="dxa" w:w="110"/>
            </w:tcMar>
          </w:tcPr>
          <w:p>
            <w:r>
              <w:rPr>
                <w:color w:val="1f2937"/>
                <w:sz w:val="19"/>
                <w:szCs w:val="19"/>
              </w:rPr>
              <w:t xml:space="preserve">Regulatory-demand leading indicators</w:t>
            </w:r>
          </w:p>
        </w:tc>
      </w:tr>
      <w:tr>
        <w:tc>
          <w:tcPr>
            <w:tcMar>
              <w:top w:type="dxa" w:w="60"/>
              <w:left w:type="dxa" w:w="110"/>
              <w:bottom w:type="dxa" w:w="60"/>
              <w:right w:type="dxa" w:w="110"/>
            </w:tcMar>
          </w:tcPr>
          <w:p>
            <w:r>
              <w:rPr>
                <w:b/>
                <w:bCs/>
                <w:color w:val="1f2937"/>
                <w:sz w:val="19"/>
                <w:szCs w:val="19"/>
              </w:rPr>
              <w:t xml:space="preserve">GSA CALC+</w:t>
            </w:r>
          </w:p>
        </w:tc>
        <w:tc>
          <w:tcPr>
            <w:tcMar>
              <w:top w:type="dxa" w:w="60"/>
              <w:left w:type="dxa" w:w="110"/>
              <w:bottom w:type="dxa" w:w="60"/>
              <w:right w:type="dxa" w:w="110"/>
            </w:tcMar>
          </w:tcPr>
          <w:p>
            <w:r>
              <w:rPr>
                <w:color w:val="1f2937"/>
                <w:sz w:val="19"/>
                <w:szCs w:val="19"/>
              </w:rPr>
              <w:t xml:space="preserve">Price-to-win labor rates</w:t>
            </w:r>
          </w:p>
        </w:tc>
      </w:tr>
      <w:tr>
        <w:tc>
          <w:tcPr>
            <w:tcMar>
              <w:top w:type="dxa" w:w="60"/>
              <w:left w:type="dxa" w:w="110"/>
              <w:bottom w:type="dxa" w:w="60"/>
              <w:right w:type="dxa" w:w="110"/>
            </w:tcMar>
          </w:tcPr>
          <w:p>
            <w:r>
              <w:rPr>
                <w:b/>
                <w:bCs/>
                <w:color w:val="1f2937"/>
                <w:sz w:val="19"/>
                <w:szCs w:val="19"/>
              </w:rPr>
              <w:t xml:space="preserve">Grants.gov / NIH RePORTER</w:t>
            </w:r>
          </w:p>
        </w:tc>
        <w:tc>
          <w:tcPr>
            <w:tcMar>
              <w:top w:type="dxa" w:w="60"/>
              <w:left w:type="dxa" w:w="110"/>
              <w:bottom w:type="dxa" w:w="60"/>
              <w:right w:type="dxa" w:w="110"/>
            </w:tcMar>
          </w:tcPr>
          <w:p>
            <w:r>
              <w:rPr>
                <w:color w:val="1f2937"/>
                <w:sz w:val="19"/>
                <w:szCs w:val="19"/>
              </w:rPr>
              <w:t xml:space="preserve">Grants + SBIR/STTR</w:t>
            </w:r>
          </w:p>
        </w:tc>
      </w:tr>
      <w:tr>
        <w:tc>
          <w:tcPr>
            <w:tcMar>
              <w:top w:type="dxa" w:w="60"/>
              <w:left w:type="dxa" w:w="110"/>
              <w:bottom w:type="dxa" w:w="60"/>
              <w:right w:type="dxa" w:w="110"/>
            </w:tcMar>
          </w:tcPr>
          <w:p>
            <w:r>
              <w:rPr>
                <w:b/>
                <w:bCs/>
                <w:color w:val="1f2937"/>
                <w:sz w:val="19"/>
                <w:szCs w:val="19"/>
              </w:rPr>
              <w:t xml:space="preserve">Curated GovCon corpora</w:t>
            </w:r>
          </w:p>
        </w:tc>
        <w:tc>
          <w:tcPr>
            <w:tcMar>
              <w:top w:type="dxa" w:w="60"/>
              <w:left w:type="dxa" w:w="110"/>
              <w:bottom w:type="dxa" w:w="60"/>
              <w:right w:type="dxa" w:w="110"/>
            </w:tcMar>
          </w:tcPr>
          <w:p>
            <w:r>
              <w:rPr>
                <w:color w:val="1f2937"/>
                <w:sz w:val="19"/>
                <w:szCs w:val="19"/>
              </w:rPr>
              <w:t xml:space="preserve">Winning playbook, podcast lessons, SBLO roster, OSBP directory, agency intel</w:t>
            </w:r>
          </w:p>
        </w:tc>
      </w:tr>
    </w:tbl>
    <w:p>
      <w:pPr>
        <w:spacing w:after="120"/>
      </w:pPr>
    </w:p>
    <w:p>
      <w:pPr>
        <w:spacing w:after="140"/>
        <w:jc w:val="left"/>
      </w:pPr>
      <w:r>
        <w:rPr>
          <w:color w:val="1f2937"/>
          <w:sz w:val="21"/>
          <w:szCs w:val="21"/>
        </w:rPr>
        <w:t xml:space="preserve">Public data is labeled public; curated intelligence is labeled curated; an honest miss is labeled </w:t>
      </w:r>
      <w:r>
        <w:rPr>
          <w:rFonts w:ascii="Consolas" w:cs="Consolas" w:eastAsia="Consolas" w:hAnsi="Consolas"/>
          <w:color w:val="6d28d9"/>
          <w:sz w:val="21"/>
          <w:szCs w:val="21"/>
        </w:rPr>
        <w:t xml:space="preserve">grounded: false</w:t>
      </w:r>
      <w:r>
        <w:rPr>
          <w:color w:val="1f2937"/>
          <w:sz w:val="21"/>
          <w:szCs w:val="21"/>
        </w:rPr>
        <w:t xml:space="preserve">. Nothing is dressed up as something it isn't.</w:t>
      </w:r>
    </w:p>
    <w:p>
      <w:pPr>
        <w:pBdr>
          <w:bottom w:val="single" w:color="d1d5db" w:sz="6" w:space="8"/>
        </w:pBdr>
        <w:spacing w:after="160"/>
      </w:pPr>
    </w:p>
    <w:p>
      <w:pPr>
        <w:pStyle w:val="Heading2"/>
        <w:spacing w:after="120" w:before="260"/>
      </w:pPr>
      <w:r>
        <w:rPr>
          <w:b/>
          <w:bCs/>
          <w:color w:val="6d28d9"/>
          <w:sz w:val="28"/>
          <w:szCs w:val="28"/>
        </w:rPr>
        <w:t xml:space="preserve">The bottom line</w:t>
      </w:r>
    </w:p>
    <w:p>
      <w:pPr>
        <w:spacing w:after="140"/>
        <w:jc w:val="left"/>
      </w:pPr>
      <w:r>
        <w:rPr>
          <w:color w:val="1f2937"/>
          <w:sz w:val="21"/>
          <w:szCs w:val="21"/>
        </w:rPr>
        <w:t xml:space="preserve">Mindy MCP is not "an API wrapper for federal contracting." It's a grounded intelligence layer for AI agents — </w:t>
      </w:r>
      <w:r>
        <w:rPr>
          <w:b/>
          <w:bCs/>
          <w:color w:val="1f2937"/>
          <w:sz w:val="21"/>
          <w:szCs w:val="21"/>
        </w:rPr>
        <w:t xml:space="preserve">33 tools</w:t>
      </w:r>
      <w:r>
        <w:rPr>
          <w:color w:val="1f2937"/>
          <w:sz w:val="21"/>
          <w:szCs w:val="21"/>
        </w:rPr>
        <w:t xml:space="preserve"> spanning the public data any agent needs and the proprietary intelligence no competitor can copy, all under a contract that returns real data or honestly returns nothing.</w:t>
      </w:r>
    </w:p>
    <w:p>
      <w:pPr>
        <w:pStyle w:val="ListParagraph"/>
        <w:numPr>
          <w:ilvl w:val="0"/>
          <w:numId w:val="1"/>
        </w:numPr>
        <w:spacing w:after="60"/>
      </w:pPr>
      <w:r>
        <w:rPr>
          <w:b/>
          <w:bCs/>
          <w:color w:val="1f2937"/>
          <w:sz w:val="21"/>
          <w:szCs w:val="21"/>
        </w:rPr>
        <w:t xml:space="preserve">Commodity done right</w:t>
      </w:r>
      <w:r>
        <w:rPr>
          <w:color w:val="1f2937"/>
          <w:sz w:val="21"/>
          <w:szCs w:val="21"/>
        </w:rPr>
        <w:t xml:space="preserve"> — the public-data tools are fast, cached, and useful on call one.</w:t>
      </w:r>
    </w:p>
    <w:p>
      <w:pPr>
        <w:pStyle w:val="ListParagraph"/>
        <w:numPr>
          <w:ilvl w:val="0"/>
          <w:numId w:val="1"/>
        </w:numPr>
        <w:spacing w:after="60"/>
      </w:pPr>
      <w:r>
        <w:rPr>
          <w:b/>
          <w:bCs/>
          <w:color w:val="1f2937"/>
          <w:sz w:val="21"/>
          <w:szCs w:val="21"/>
        </w:rPr>
        <w:t xml:space="preserve">Moat where it counts</w:t>
      </w:r>
      <w:r>
        <w:rPr>
          <w:color w:val="1f2937"/>
          <w:sz w:val="21"/>
          <w:szCs w:val="21"/>
        </w:rPr>
        <w:t xml:space="preserve"> — winning playbooks, office-level buying contacts, SBLO teaming, and podcast lessons that took eight years to build.</w:t>
      </w:r>
    </w:p>
    <w:p>
      <w:pPr>
        <w:pStyle w:val="ListParagraph"/>
        <w:numPr>
          <w:ilvl w:val="0"/>
          <w:numId w:val="1"/>
        </w:numPr>
        <w:spacing w:after="60"/>
      </w:pPr>
      <w:r>
        <w:rPr>
          <w:b/>
          <w:bCs/>
          <w:color w:val="1f2937"/>
          <w:sz w:val="21"/>
          <w:szCs w:val="21"/>
        </w:rPr>
        <w:t xml:space="preserve">Trustworthy by construction</w:t>
      </w:r>
      <w:r>
        <w:rPr>
          <w:color w:val="1f2937"/>
          <w:sz w:val="21"/>
          <w:szCs w:val="21"/>
        </w:rPr>
        <w:t xml:space="preserve"> — </w:t>
      </w:r>
      <w:r>
        <w:rPr>
          <w:rFonts w:ascii="Consolas" w:cs="Consolas" w:eastAsia="Consolas" w:hAnsi="Consolas"/>
          <w:color w:val="6d28d9"/>
          <w:sz w:val="21"/>
          <w:szCs w:val="21"/>
        </w:rPr>
        <w:t xml:space="preserve">grounded</w:t>
      </w:r>
      <w:r>
        <w:rPr>
          <w:color w:val="1f2937"/>
          <w:sz w:val="21"/>
          <w:szCs w:val="21"/>
        </w:rPr>
        <w:t xml:space="preserve"> and </w:t>
      </w:r>
      <w:r>
        <w:rPr>
          <w:rFonts w:ascii="Consolas" w:cs="Consolas" w:eastAsia="Consolas" w:hAnsi="Consolas"/>
          <w:color w:val="6d28d9"/>
          <w:sz w:val="21"/>
          <w:szCs w:val="21"/>
        </w:rPr>
        <w:t xml:space="preserve">degraded</w:t>
      </w:r>
      <w:r>
        <w:rPr>
          <w:color w:val="1f2937"/>
          <w:sz w:val="21"/>
          <w:szCs w:val="21"/>
        </w:rPr>
        <w:t xml:space="preserve"> on every response; </w:t>
      </w:r>
      <w:r>
        <w:rPr>
          <w:rFonts w:ascii="Consolas" w:cs="Consolas" w:eastAsia="Consolas" w:hAnsi="Consolas"/>
          <w:color w:val="6d28d9"/>
          <w:sz w:val="21"/>
          <w:szCs w:val="21"/>
        </w:rPr>
        <w:t xml:space="preserve">grounded = false</w:t>
      </w:r>
      <w:r>
        <w:rPr>
          <w:color w:val="1f2937"/>
          <w:sz w:val="21"/>
          <w:szCs w:val="21"/>
        </w:rPr>
        <w:t xml:space="preserve"> never invents.</w:t>
      </w:r>
    </w:p>
    <w:p>
      <w:pPr>
        <w:spacing w:after="140"/>
        <w:jc w:val="left"/>
      </w:pPr>
      <w:r>
        <w:rPr>
          <w:color w:val="1f2937"/>
          <w:sz w:val="21"/>
          <w:szCs w:val="21"/>
        </w:rPr>
        <w:t xml:space="preserve">Point your agent at </w:t>
      </w:r>
      <w:r>
        <w:rPr>
          <w:rFonts w:ascii="Consolas" w:cs="Consolas" w:eastAsia="Consolas" w:hAnsi="Consolas"/>
          <w:color w:val="6d28d9"/>
          <w:sz w:val="21"/>
          <w:szCs w:val="21"/>
        </w:rPr>
        <w:t xml:space="preserve">getmindy.ai/mcp/mcp</w:t>
      </w:r>
      <w:r>
        <w:rPr>
          <w:color w:val="1f2937"/>
          <w:sz w:val="21"/>
          <w:szCs w:val="21"/>
        </w:rPr>
        <w:t xml:space="preserve">, sign in, and the first 100 credits are on us.</w:t>
      </w:r>
    </w:p>
    <w:p>
      <w:pPr>
        <w:pBdr>
          <w:bottom w:val="single" w:color="d1d5db" w:sz="6" w:space="8"/>
        </w:pBdr>
        <w:spacing w:after="160"/>
      </w:pPr>
    </w:p>
    <w:p>
      <w:pPr>
        <w:spacing w:after="140"/>
        <w:jc w:val="left"/>
      </w:pPr>
      <w:r>
        <w:rPr>
          <w:i/>
          <w:iCs/>
          <w:color w:val="1f2937"/>
          <w:sz w:val="21"/>
          <w:szCs w:val="21"/>
        </w:rPr>
        <w:t xml:space="preserve">Mindy is a product of GovCon Giants. For demos, partnerships, or enterprise inquiries: hello@govcongiants.com</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2026-07-14T20:04:42.165Z</dcterms:created>
  <dcterms:modified xsi:type="dcterms:W3CDTF">2026-07-14T20:04:42.170Z</dcterms:modified>
</cp:coreProperties>
</file>

<file path=docProps/custom.xml><?xml version="1.0" encoding="utf-8"?>
<Properties xmlns="http://schemas.openxmlformats.org/officeDocument/2006/custom-properties" xmlns:vt="http://schemas.openxmlformats.org/officeDocument/2006/docPropsVTypes"/>
</file>