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16f53ef7a05f3b7ad42d2626afc28d1edbc4fec"/>
    <w:p>
      <w:pPr>
        <w:pStyle w:val="Heading1"/>
      </w:pPr>
      <w:r>
        <w:t xml:space="preserve">DLA26BZ03-NV012 — Official DSIP Q&amp;A (pulled 2026-07-15)</w:t>
      </w:r>
    </w:p>
    <w:p>
      <w:pPr>
        <w:pStyle w:val="BlockText"/>
      </w:pPr>
      <w:r>
        <w:t xml:space="preserve">Source: DSIP topic Q&amp;A, questions submitted 06/04/2026 → 07/08/2026. This is the AUTHORITATIVE</w:t>
      </w:r>
      <w:r>
        <w:t xml:space="preserve"> </w:t>
      </w:r>
      <w:r>
        <w:t xml:space="preserve">government clarification record. Where it conflicts with our one-pager / Phase I outline, THIS WINS.</w:t>
      </w:r>
      <w:r>
        <w:t xml:space="preserve"> </w:t>
      </w:r>
      <w:r>
        <w:t xml:space="preserve">Several answers materially change scope — see</w:t>
      </w:r>
      <w:r>
        <w:t xml:space="preserve"> </w:t>
      </w:r>
      <w:r>
        <w:rPr>
          <w:rStyle w:val="VerbatimChar"/>
        </w:rPr>
        <w:t xml:space="preserve">DLA-NV012-PHASE-I-OUTLINE.md</w:t>
      </w:r>
      <w:r>
        <w:t xml:space="preserve"> </w:t>
      </w:r>
      <w:r>
        <w:t xml:space="preserve">§Q&amp;A-DELTAS.</w:t>
      </w:r>
    </w:p>
    <w:bookmarkStart w:id="10" w:name="Xc9a738c0e57f301755413f964c2c7ea9af91f8d"/>
    <w:p>
      <w:pPr>
        <w:pStyle w:val="Heading2"/>
      </w:pPr>
      <w:r>
        <w:t xml:space="preserve">The highest-impact clarifications (proposal-shaping)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NUMERATOR = DLA WCF revenue/disbursements, NOT obligations, NOT federal-wide.</w:t>
      </w:r>
      <w:r>
        <w:t xml:space="preserve"> </w:t>
      </w:r>
      <w:r>
        <w:t xml:space="preserve">For SFFAS 47</w:t>
      </w:r>
      <w:r>
        <w:t xml:space="preserve"> </w:t>
      </w:r>
      <w:r>
        <w:t xml:space="preserve">compliance, "DLA business" = DLA Working Capital Fund</w:t>
      </w:r>
      <w:r>
        <w:t xml:space="preserve"> </w:t>
      </w:r>
      <w:r>
        <w:rPr>
          <w:b/>
          <w:bCs/>
        </w:rPr>
        <w:t xml:space="preserve">accruals + actual disbursements</w:t>
      </w:r>
      <w:r>
        <w:t xml:space="preserve">,</w:t>
      </w:r>
      <w:r>
        <w:t xml:space="preserve"> </w:t>
      </w:r>
      <w:r>
        <w:t xml:space="preserve">specifically. Obligations "do not directly generate realized vendor revenue." Broader DoD/federal</w:t>
      </w:r>
      <w:r>
        <w:t xml:space="preserve"> </w:t>
      </w:r>
      <w:r>
        <w:t xml:space="preserve">(USASpending/FPDS) =</w:t>
      </w:r>
      <w:r>
        <w:t xml:space="preserve"> </w:t>
      </w:r>
      <w:r>
        <w:rPr>
          <w:b/>
          <w:bCs/>
        </w:rPr>
        <w:t xml:space="preserve">secondary</w:t>
      </w:r>
      <w:r>
        <w:t xml:space="preserve"> </w:t>
      </w:r>
      <w:r>
        <w:t xml:space="preserve">supply-chain layer, "viewed highly favorably" but NOT the core</w:t>
      </w:r>
      <w:r>
        <w:t xml:space="preserve"> </w:t>
      </w:r>
      <w:r>
        <w:t xml:space="preserve">compliance metric. → Directly ties to audit finding</w:t>
      </w:r>
      <w:r>
        <w:t xml:space="preserve"> </w:t>
      </w:r>
      <w:r>
        <w:rPr>
          <w:b/>
          <w:bCs/>
        </w:rPr>
        <w:t xml:space="preserve">NFR FIN-2025-WCF-071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DENOMINATOR = consolidated PARENT total gross revenue</w:t>
      </w:r>
      <w:r>
        <w:t xml:space="preserve"> </w:t>
      </w:r>
      <w:r>
        <w:t xml:space="preserve">(from 10-K). Segment-level = optional</w:t>
      </w:r>
      <w:r>
        <w:t xml:space="preserve"> </w:t>
      </w:r>
      <w:r>
        <w:t xml:space="preserve">secondary layer if disclosed. Assess at consolidated-parent level per SFFAS 47.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THRESHOLD = configurable engine, baseline 10% revenue-concentration</w:t>
      </w:r>
      <w:r>
        <w:t xml:space="preserve"> </w:t>
      </w:r>
      <w:r>
        <w:t xml:space="preserve">(aligned FASB ASC</w:t>
      </w:r>
      <w:r>
        <w:t xml:space="preserve"> </w:t>
      </w:r>
      <w:r>
        <w:t xml:space="preserve">280-10-50-42)</w:t>
      </w:r>
      <w:r>
        <w:t xml:space="preserve"> </w:t>
      </w:r>
      <w:r>
        <w:rPr>
          <w:b/>
          <w:bCs/>
        </w:rPr>
        <w:t xml:space="preserve">+ "going concern" footnote detection</w:t>
      </w:r>
      <w:r>
        <w:t xml:space="preserve"> </w:t>
      </w:r>
      <w:r>
        <w:t xml:space="preserve">(FASB ASC 205-40). Must NOT be hardcoded —</w:t>
      </w:r>
      <w:r>
        <w:t xml:space="preserve"> </w:t>
      </w:r>
      <w:r>
        <w:t xml:space="preserve">analysts adjust 5/10/20% + toggle NLP footnote filters via UI. Point-in-time snapshot.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PRIVATE / FOREIGN vendors are IN SCOPE for Phase I — cannot defer to Phase II.</w:t>
      </w:r>
      <w:r>
        <w:t xml:space="preserve"> </w:t>
      </w:r>
      <w:r>
        <w:t xml:space="preserve">Must demonstrate</w:t>
      </w:r>
      <w:r>
        <w:t xml:space="preserve"> </w:t>
      </w:r>
      <w:r>
        <w:t xml:space="preserve">a feasible workflow: web-harvest/scrape corporate sites for audited statements, PDF/OCR parsing,</w:t>
      </w:r>
      <w:r>
        <w:t xml:space="preserve"> </w:t>
      </w:r>
      <w:r>
        <w:t xml:space="preserve">or commercial DBs (D&amp;B, Experian, private-market). Then confidence score + SAM.gov fallback for gaps.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= de-identified synthetic flat-files (CSV/JSON/Excel) mirroring EBS master tables</w:t>
      </w:r>
      <w:r>
        <w:t xml:space="preserve">, provided</w:t>
      </w:r>
      <w:r>
        <w:t xml:space="preserve"> </w:t>
      </w:r>
      <w:r>
        <w:t xml:space="preserve">to Phase I awardees AFTER an</w:t>
      </w:r>
      <w:r>
        <w:t xml:space="preserve"> </w:t>
      </w:r>
      <w:r>
        <w:rPr>
          <w:b/>
          <w:bCs/>
        </w:rPr>
        <w:t xml:space="preserve">NDA/Data Use Agreement</w:t>
      </w:r>
      <w:r>
        <w:t xml:space="preserve"> </w:t>
      </w:r>
      <w:r>
        <w:t xml:space="preserve">(request form:</w:t>
      </w:r>
      <w:r>
        <w:t xml:space="preserve"> </w:t>
      </w:r>
      <w:hyperlink r:id="rId9">
        <w:r>
          <w:rPr>
            <w:rStyle w:val="Hyperlink"/>
          </w:rPr>
          <w:t xml:space="preserve">https://forms.osi.apps.mil/r/vLpqrz561L</w:t>
        </w:r>
      </w:hyperlink>
      <w:r>
        <w:t xml:space="preserve"> </w:t>
      </w:r>
      <w:r>
        <w:t xml:space="preserve">). Marked</w:t>
      </w:r>
      <w:r>
        <w:t xml:space="preserve"> </w:t>
      </w:r>
      <w:r>
        <w:rPr>
          <w:b/>
          <w:bCs/>
        </w:rPr>
        <w:t xml:space="preserve">CUI//SP-PROPIN + CUI//SP-PRVCY</w:t>
      </w:r>
      <w:r>
        <w:t xml:space="preserve">. Includes</w:t>
      </w:r>
      <w:r>
        <w:t xml:space="preserve"> </w:t>
      </w:r>
      <w:r>
        <w:t xml:space="preserve">resolved CAGE/DUNS/EIN (some masked).</w:t>
      </w:r>
      <w:r>
        <w:t xml:space="preserve"> </w:t>
      </w:r>
      <w:r>
        <w:rPr>
          <w:b/>
          <w:bCs/>
        </w:rPr>
        <w:t xml:space="preserve">No live EBS API / sandbox in Phase I</w:t>
      </w:r>
      <w:r>
        <w:t xml:space="preserve"> </w:t>
      </w:r>
      <w:r>
        <w:t xml:space="preserve">— offeror-hosted only.</w:t>
      </w:r>
      <w:r>
        <w:t xml:space="preserve"> </w:t>
      </w:r>
      <w:r>
        <w:t xml:space="preserve">Entity-resolution across de-identified internal ↔ real public filings is a CORE Phase I demo.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PHASE I ENVIRONMENT = offeror-hosted, CUI-compliant. FedRAMP Moderate (or equiv) is acceptable</w:t>
      </w:r>
      <w:r>
        <w:t xml:space="preserve"> </w:t>
      </w:r>
      <w:r>
        <w:t xml:space="preserve">for Phase I (IL-4/High also fine, not required).</w:t>
      </w:r>
      <w:r>
        <w:t xml:space="preserve"> </w:t>
      </w:r>
      <w:r>
        <w:rPr>
          <w:b/>
          <w:bCs/>
        </w:rPr>
        <w:t xml:space="preserve">IL-5 is a PHASE II production constraint only.</w:t>
      </w:r>
      <w:r>
        <w:t xml:space="preserve"> </w:t>
      </w:r>
      <w:r>
        <w:t xml:space="preserve">Must comply with</w:t>
      </w:r>
      <w:r>
        <w:t xml:space="preserve"> </w:t>
      </w:r>
      <w:r>
        <w:rPr>
          <w:b/>
          <w:bCs/>
        </w:rPr>
        <w:t xml:space="preserve">NIST SP 800-171 R2 + DFARS 252.204-7012</w:t>
      </w:r>
      <w:r>
        <w:t xml:space="preserve">;</w:t>
      </w:r>
      <w:r>
        <w:t xml:space="preserve"> </w:t>
      </w:r>
      <w:r>
        <w:rPr>
          <w:b/>
          <w:bCs/>
        </w:rPr>
        <w:t xml:space="preserve">CMMC Level 2 self-attestation is a</w:t>
      </w:r>
      <w:r>
        <w:rPr>
          <w:b/>
          <w:bCs/>
        </w:rPr>
        <w:t xml:space="preserve"> </w:t>
      </w:r>
      <w:r>
        <w:rPr>
          <w:b/>
          <w:bCs/>
        </w:rPr>
        <w:t xml:space="preserve">condition of AWARD</w:t>
      </w:r>
      <w:r>
        <w:t xml:space="preserve"> </w:t>
      </w:r>
      <w:r>
        <w:t xml:space="preserve">(not required in the proposal volume, but include a brief "Cybersecurity &amp;</w:t>
      </w:r>
      <w:r>
        <w:t xml:space="preserve"> </w:t>
      </w:r>
      <w:r>
        <w:t xml:space="preserve">Compliance" statement confirming active CMMC L2 self-attestation + active SPRS score + active SSP,</w:t>
      </w:r>
      <w:r>
        <w:t xml:space="preserve"> </w:t>
      </w:r>
      <w:r>
        <w:t xml:space="preserve">no critical POA&amp;Ms). Formal SPRS/SSP verification happens pre-award.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MATERIALITY = GAO FAM §230 + §1001 five-step materiality cascade</w:t>
      </w:r>
      <w:r>
        <w:t xml:space="preserve"> </w:t>
      </w:r>
      <w:r>
        <w:t xml:space="preserve">from DLA WCF Total Gross Cost</w:t>
      </w:r>
      <w:r>
        <w:t xml:space="preserve"> </w:t>
      </w:r>
      <w:r>
        <w:t xml:space="preserve">down to a WCF materiality threshold. Proposers must propose how risk-scoring maps findings to this.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RISK DIMENSIONS beyond cost-reimb vs fixed-price:</w:t>
      </w:r>
      <w:r>
        <w:t xml:space="preserve"> </w:t>
      </w:r>
      <w:r>
        <w:t xml:space="preserve">weight by contract type</w:t>
      </w:r>
      <w:r>
        <w:t xml:space="preserve"> </w:t>
      </w:r>
      <w:r>
        <w:rPr>
          <w:b/>
          <w:bCs/>
        </w:rPr>
        <w:t xml:space="preserve">× active</w:t>
      </w:r>
      <w:r>
        <w:rPr>
          <w:b/>
          <w:bCs/>
        </w:rPr>
        <w:t xml:space="preserve"> </w:t>
      </w:r>
      <w:r>
        <w:rPr>
          <w:b/>
          <w:bCs/>
        </w:rPr>
        <w:t xml:space="preserve">contract-financing flags (advance / progress payment indicators)</w:t>
      </w:r>
      <w:r>
        <w:t xml:space="preserve"> </w:t>
      </w:r>
      <w:r>
        <w:t xml:space="preserve">— they raise DLA's financial</w:t>
      </w:r>
      <w:r>
        <w:t xml:space="preserve"> </w:t>
      </w:r>
      <w:r>
        <w:t xml:space="preserve">exposure. (FAR contract-type sections recommended as the basis.)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SYSTEM ROLE = decision-support w/ Human-in-the-Loop, NOT a determiner.</w:t>
      </w:r>
      <w:r>
        <w:t xml:space="preserve"> </w:t>
      </w:r>
      <w:r>
        <w:t xml:space="preserve">Automate screening,</w:t>
      </w:r>
      <w:r>
        <w:t xml:space="preserve"> </w:t>
      </w:r>
      <w:r>
        <w:t xml:space="preserve">risk-scoring, entity resolution, RAG footnote text-mining → present flagged "recommendations" +</w:t>
      </w:r>
      <w:r>
        <w:t xml:space="preserve"> </w:t>
      </w:r>
      <w:r>
        <w:t xml:space="preserve">side-by-side evidence workspace + HITL analyst controls. Final SFFAS-47 disclosure / consolidation</w:t>
      </w:r>
      <w:r>
        <w:t xml:space="preserve"> </w:t>
      </w:r>
      <w:r>
        <w:t xml:space="preserve">determinations stay with DLA/DoW financial-management personnel (policy/legal decision).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AUDIT EVIDENCE = self-contained, EXPORTABLE, independently re-computable OUTSIDE the tool.</w:t>
      </w:r>
      <w:r>
        <w:t xml:space="preserve"> </w:t>
      </w:r>
      <w:r>
        <w:t xml:space="preserve">Every finding: visible audit trail, exact source data + as-of snapshot, calculation basis + logic,</w:t>
      </w:r>
      <w:r>
        <w:t xml:space="preserve"> </w:t>
      </w:r>
      <w:r>
        <w:t xml:space="preserve">signed record of which configurable threshold + data snapshot produced each determination (so a</w:t>
      </w:r>
      <w:r>
        <w:t xml:space="preserve"> </w:t>
      </w:r>
      <w:r>
        <w:t xml:space="preserve">prior-FY SFFAS-47 disclosure can be re-derived exactly in a later audit). Confidence/reliability</w:t>
      </w:r>
      <w:r>
        <w:t xml:space="preserve"> </w:t>
      </w:r>
      <w:r>
        <w:t xml:space="preserve">index must be a mathematically reproducible calculation, not just a qualitative flag.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OWNER = DLA Finance (J8)</w:t>
      </w:r>
      <w:r>
        <w:t xml:space="preserve"> </w:t>
      </w:r>
      <w:r>
        <w:t xml:space="preserve">primary system owner; **dual-view adjudication J8 (audit disclosure)</w:t>
      </w:r>
    </w:p>
    <w:p>
      <w:pPr>
        <w:pStyle w:val="Compact"/>
        <w:numPr>
          <w:ilvl w:val="1"/>
          <w:numId w:val="1002"/>
        </w:numPr>
      </w:pPr>
      <w:r>
        <w:t xml:space="preserve">J7 (supply-chain risk)**. Trigger = drive to a clean, unqualified audit opinion. DLA has NO</w:t>
      </w:r>
      <w:r>
        <w:t xml:space="preserve"> </w:t>
      </w:r>
      <w:r>
        <w:t xml:space="preserve">current automated related-party / SFFAS-47 tool (manual, ad-hoc).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TRL preference 7/8</w:t>
      </w:r>
      <w:r>
        <w:t xml:space="preserve"> </w:t>
      </w:r>
      <w:r>
        <w:t xml:space="preserve">— commercially mature / dual-use, customization+integration over greenfield</w:t>
      </w:r>
      <w:r>
        <w:t xml:space="preserve"> </w:t>
      </w:r>
      <w:r>
        <w:t xml:space="preserve">(greenfield not prohibited, fully evaluated, but strong COTS/dual-use preference).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PHASE II target env</w:t>
      </w:r>
      <w:r>
        <w:t xml:space="preserve"> </w:t>
      </w:r>
      <w:r>
        <w:t xml:space="preserve">= government-hosted</w:t>
      </w:r>
      <w:r>
        <w:t xml:space="preserve"> </w:t>
      </w:r>
      <w:r>
        <w:rPr>
          <w:b/>
          <w:bCs/>
        </w:rPr>
        <w:t xml:space="preserve">GCP tenant at IL-5</w:t>
      </w:r>
      <w:r>
        <w:t xml:space="preserve">, integrating</w:t>
      </w:r>
      <w:r>
        <w:t xml:space="preserve"> </w:t>
      </w:r>
      <w:r>
        <w:rPr>
          <w:b/>
          <w:bCs/>
        </w:rPr>
        <w:t xml:space="preserve">EBS</w:t>
      </w:r>
      <w:r>
        <w:t xml:space="preserve"> </w:t>
      </w:r>
      <w:r>
        <w:t xml:space="preserve">(master</w:t>
      </w:r>
      <w:r>
        <w:t xml:space="preserve"> </w:t>
      </w:r>
      <w:r>
        <w:t xml:space="preserve">tables + GL views; exact system CUI).</w:t>
      </w:r>
      <w:r>
        <w:t xml:space="preserve"> </w:t>
      </w:r>
      <w:r>
        <w:rPr>
          <w:b/>
          <w:bCs/>
        </w:rPr>
        <w:t xml:space="preserve">No outbound public internet in IL-5</w:t>
      </w:r>
      <w:r>
        <w:t xml:space="preserve"> </w:t>
      </w:r>
      <w:r>
        <w:t xml:space="preserve">— SEC EDGAR/SAM.gov</w:t>
      </w:r>
      <w:r>
        <w:t xml:space="preserve"> </w:t>
      </w:r>
      <w:r>
        <w:t xml:space="preserve">ingestion must route via</w:t>
      </w:r>
      <w:r>
        <w:t xml:space="preserve"> </w:t>
      </w:r>
      <w:r>
        <w:rPr>
          <w:b/>
          <w:bCs/>
        </w:rPr>
        <w:t xml:space="preserve">DLA J6 secure web/API proxies</w:t>
      </w:r>
      <w:r>
        <w:t xml:space="preserve">.</w:t>
      </w:r>
      <w:r>
        <w:t xml:space="preserve"> </w:t>
      </w:r>
      <w:r>
        <w:rPr>
          <w:b/>
          <w:bCs/>
        </w:rPr>
        <w:t xml:space="preserve">ATO takes 12–18 months</w:t>
      </w:r>
      <w:r>
        <w:t xml:space="preserve"> </w:t>
      </w:r>
      <w:r>
        <w:t xml:space="preserve">— factor</w:t>
      </w:r>
      <w:r>
        <w:t xml:space="preserve"> </w:t>
      </w:r>
      <w:r>
        <w:t xml:space="preserve">into Phase II transition schedule.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SOURCES for Phase I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EBS (provided) + SEC EDGAR + SAM.gov</w:t>
      </w:r>
      <w:r>
        <w:t xml:space="preserve"> </w:t>
      </w:r>
      <w:r>
        <w:t xml:space="preserve">(the core). USASpending/FPDS =</w:t>
      </w:r>
      <w:r>
        <w:t xml:space="preserve"> </w:t>
      </w:r>
      <w:r>
        <w:t xml:space="preserve">less critical (aggregated/historical), secondary only.</w:t>
      </w:r>
      <w:r>
        <w:t xml:space="preserve"> </w:t>
      </w:r>
      <w:r>
        <w:rPr>
          <w:b/>
          <w:bCs/>
        </w:rPr>
        <w:t xml:space="preserve">DIBBS out of scope</w:t>
      </w:r>
      <w:r>
        <w:t xml:space="preserve"> </w:t>
      </w:r>
      <w:r>
        <w:t xml:space="preserve">(already duplicated in</w:t>
      </w:r>
      <w:r>
        <w:t xml:space="preserve"> </w:t>
      </w:r>
      <w:r>
        <w:t xml:space="preserve">EBS). No DCAA/DCMA needed in Phase I. Additional sources allowed but prioritize the core three.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OUTPUT = interactive dashboard</w:t>
      </w:r>
      <w:r>
        <w:t xml:space="preserve"> </w:t>
      </w:r>
      <w:r>
        <w:t xml:space="preserve">(primary) for analyst/leadership actionable insight; PDFs /</w:t>
      </w:r>
      <w:r>
        <w:t xml:space="preserve"> </w:t>
      </w:r>
      <w:r>
        <w:t xml:space="preserve">flat-file exports evaluated during Phase I. Workflow = large-scale</w:t>
      </w:r>
      <w:r>
        <w:t xml:space="preserve"> </w:t>
      </w:r>
      <w:r>
        <w:rPr>
          <w:b/>
          <w:bCs/>
        </w:rPr>
        <w:t xml:space="preserve">batch upload</w:t>
      </w:r>
      <w:r>
        <w:t xml:space="preserve"> </w:t>
      </w:r>
      <w:r>
        <w:t xml:space="preserve">at reporting</w:t>
      </w:r>
      <w:r>
        <w:t xml:space="preserve"> </w:t>
      </w:r>
      <w:r>
        <w:t xml:space="preserve">intervals + point-in-time maintenance queries.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GOLDEN DATASET</w:t>
      </w:r>
      <w:r>
        <w:t xml:space="preserve"> </w:t>
      </w:r>
      <w:r>
        <w:t xml:space="preserve">= seeded by DLA sample data + SAM.gov + SEC EDGAR into an end-to-end multi-source</w:t>
      </w:r>
      <w:r>
        <w:t xml:space="preserve"> </w:t>
      </w:r>
      <w:r>
        <w:t xml:space="preserve">reference baseline; large enough vendor cohort to prove flagging + edge cases (formatting gaps);</w:t>
      </w:r>
      <w:r>
        <w:t xml:space="preserve"> </w:t>
      </w:r>
      <w:r>
        <w:t xml:space="preserve">outputs must show absolute explainability.</w:t>
      </w:r>
      <w:r>
        <w:t xml:space="preserve"> </w:t>
      </w:r>
      <w:r>
        <w:rPr>
          <w:b/>
          <w:bCs/>
        </w:rPr>
        <w:t xml:space="preserve">NOT required to be pre-built by offeror in Phase I</w:t>
      </w:r>
      <w:r>
        <w:t xml:space="preserve"> </w:t>
      </w:r>
      <w:r>
        <w:t xml:space="preserve">—</w:t>
      </w:r>
      <w:r>
        <w:t xml:space="preserve"> </w:t>
      </w:r>
      <w:r>
        <w:t xml:space="preserve">prove feasibility + how; EBS access to build it comes after Phase I award.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Procedures/SOPs = OUT of scope</w:t>
      </w:r>
      <w:r>
        <w:t xml:space="preserve"> </w:t>
      </w:r>
      <w:r>
        <w:t xml:space="preserve">(government-led workstream). Phase I proves the tool + models the</w:t>
      </w:r>
      <w:r>
        <w:t xml:space="preserve"> </w:t>
      </w:r>
      <w:r>
        <w:t xml:space="preserve">underlying logic/methodology, but does NOT build DLA's formal SOPs.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Oral presentation</w:t>
      </w:r>
      <w:r>
        <w:t xml:space="preserve"> </w:t>
      </w:r>
      <w:r>
        <w:t xml:space="preserve">may be requested for highly acceptable proposals; team composition = offeror's</w:t>
      </w:r>
      <w:r>
        <w:t xml:space="preserve"> </w:t>
      </w:r>
      <w:r>
        <w:t xml:space="preserve">discretion.</w:t>
      </w:r>
      <w:r>
        <w:t xml:space="preserve"> </w:t>
      </w:r>
      <w:r>
        <w:rPr>
          <w:b/>
          <w:bCs/>
        </w:rPr>
        <w:t xml:space="preserve">Volume 2 Technical = 20-page limit.</w:t>
      </w:r>
      <w:r>
        <w:t xml:space="preserve"> </w:t>
      </w:r>
      <w:r>
        <w:t xml:space="preserve">Eval = individual technical merit (not</w:t>
      </w:r>
      <w:r>
        <w:t xml:space="preserve"> </w:t>
      </w:r>
      <w:r>
        <w:t xml:space="preserve">weighted/ranked against others); technical approach is the assessment basis.</w:t>
      </w:r>
    </w:p>
    <w:bookmarkEnd w:id="10"/>
    <w:bookmarkStart w:id="12" w:name="logistics"/>
    <w:p>
      <w:pPr>
        <w:pStyle w:val="Heading2"/>
      </w:pPr>
      <w:r>
        <w:t xml:space="preserve">Logistics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NDA/Data Use request form:</w:t>
      </w:r>
      <w:r>
        <w:t xml:space="preserve"> </w:t>
      </w:r>
      <w:hyperlink r:id="rId9">
        <w:r>
          <w:rPr>
            <w:rStyle w:val="Hyperlink"/>
          </w:rPr>
          <w:t xml:space="preserve">https://forms.osi.apps.mil/r/vLpqrz561L</w:t>
        </w:r>
      </w:hyperlink>
      <w:r>
        <w:t xml:space="preserve"> </w:t>
      </w:r>
      <w:r>
        <w:t xml:space="preserve">(POC noted: Matthew Borsinger)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SFFAS 47 handbook (cited by DLA):</w:t>
      </w:r>
      <w:r>
        <w:t xml:space="preserve"> </w:t>
      </w:r>
      <w:hyperlink r:id="rId11">
        <w:r>
          <w:rPr>
            <w:rStyle w:val="Hyperlink"/>
          </w:rPr>
          <w:t xml:space="preserve">https://files.fasab.gov/pdffiles/handbook_sffas_47.pdf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Audit finding driving it:</w:t>
      </w:r>
      <w:r>
        <w:t xml:space="preserve"> </w:t>
      </w:r>
      <w:r>
        <w:t xml:space="preserve">NFR FIN-2025-WCF-071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Deadline:</w:t>
      </w:r>
      <w:r>
        <w:t xml:space="preserve"> </w:t>
      </w:r>
      <w:r>
        <w:t xml:space="preserve">07/22/2026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files.fasab.gov/pdffiles/handbook_sffas_47.pdf" TargetMode="External" /><Relationship Type="http://schemas.openxmlformats.org/officeDocument/2006/relationships/hyperlink" Id="rId9" Target="https://forms.osi.apps.mil/r/vLpqrz561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files.fasab.gov/pdffiles/handbook_sffas_47.pdf" TargetMode="External" /><Relationship Type="http://schemas.openxmlformats.org/officeDocument/2006/relationships/hyperlink" Id="rId9" Target="https://forms.osi.apps.mil/r/vLpqrz561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2026-07-15T15:33:24Z</dcterms:created>
  <dcterms:modified xsi:type="dcterms:W3CDTF">2026-07-15T15:33:24Z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