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c02cbddf9c439d927ee829f036dd04064fd943"/>
    <w:p>
      <w:pPr>
        <w:pStyle w:val="Heading1"/>
      </w:pPr>
      <w:r>
        <w:t xml:space="preserve">Technical Approach — Mindy Data Engine (GovCon Edu, technical subcontractor)</w:t>
      </w:r>
    </w:p>
    <w:p>
      <w:pPr>
        <w:pStyle w:val="BlockText"/>
      </w:pPr>
      <w:r>
        <w:rPr>
          <w:b/>
          <w:bCs/>
        </w:rPr>
        <w:t xml:space="preserve">For:</w:t>
      </w:r>
      <w:r>
        <w:t xml:space="preserve"> </w:t>
      </w:r>
      <w:r>
        <w:rPr>
          <w:rStyle w:val="VerbatimChar"/>
        </w:rPr>
        <w:t xml:space="preserve">[PRIME]</w:t>
      </w:r>
      <w:r>
        <w:t xml:space="preserve">'s Volume 2, DLA26BZ03-NV012. This is the technical-approach contribution from</w:t>
      </w:r>
      <w:r>
        <w:t xml:space="preserve"> </w:t>
      </w:r>
      <w:r>
        <w:rPr>
          <w:b/>
          <w:bCs/>
        </w:rPr>
        <w:t xml:space="preserve">GovCon Edu</w:t>
      </w:r>
      <w:r>
        <w:t xml:space="preserve"> </w:t>
      </w:r>
      <w:r>
        <w:t xml:space="preserve">(product:</w:t>
      </w:r>
      <w:r>
        <w:t xml:space="preserve"> </w:t>
      </w:r>
      <w:r>
        <w:rPr>
          <w:b/>
          <w:bCs/>
        </w:rPr>
        <w:t xml:space="preserve">Mindy</w:t>
      </w:r>
      <w:r>
        <w:t xml:space="preserve">) as the technical data-engineering subcontractor.</w:t>
      </w:r>
      <w:r>
        <w:t xml:space="preserve"> </w:t>
      </w:r>
      <w:r>
        <w:rPr>
          <w:rStyle w:val="VerbatimChar"/>
        </w:rPr>
        <w:t xml:space="preserve">[PRIME]</w:t>
      </w:r>
      <w:r>
        <w:t xml:space="preserve"> </w:t>
      </w:r>
      <w:r>
        <w:t xml:space="preserve">owns the</w:t>
      </w:r>
      <w:r>
        <w:t xml:space="preserve"> </w:t>
      </w:r>
      <w:r>
        <w:t xml:space="preserve">SFFAS-47 / audit-readiness methodology, the CMMC L2 / CUI-handling posture, and the overall Volume 2.</w:t>
      </w:r>
      <w:r>
        <w:t xml:space="preserve"> </w:t>
      </w:r>
      <w:r>
        <w:t xml:space="preserve">Drop-in prose below; replace</w:t>
      </w:r>
      <w:r>
        <w:t xml:space="preserve"> </w:t>
      </w:r>
      <w:r>
        <w:rPr>
          <w:rStyle w:val="VerbatimChar"/>
        </w:rPr>
        <w:t xml:space="preserve">[PRIME]</w:t>
      </w:r>
      <w:r>
        <w:t xml:space="preserve"> </w:t>
      </w:r>
      <w:r>
        <w:t xml:space="preserve">and trim to fit the 20-page limit. Written to the official Q&amp;A.</w:t>
      </w:r>
    </w:p>
    <w:p>
      <w:r>
        <w:pict>
          <v:rect style="width:0;height:1.5pt" o:hralign="center" o:hrstd="t" o:hr="t"/>
        </w:pict>
      </w:r>
    </w:p>
    <w:bookmarkStart w:id="9" w:name="Xdc1feefdcbadc91ec2698cb722b076d4036789d"/>
    <w:p>
      <w:pPr>
        <w:pStyle w:val="Heading2"/>
      </w:pPr>
      <w:r>
        <w:t xml:space="preserve">Team construct (one paragraph — for the prime to place near the top)</w:t>
      </w:r>
    </w:p>
    <w:p>
      <w:pPr>
        <w:pStyle w:val="FirstParagraph"/>
      </w:pPr>
      <w:r>
        <w:rPr>
          <w:rStyle w:val="VerbatimChar"/>
        </w:rPr>
        <w:t xml:space="preserve">[PRIME]</w:t>
      </w:r>
      <w:r>
        <w:t xml:space="preserve"> </w:t>
      </w:r>
      <w:r>
        <w:t xml:space="preserve">brings the federal-agency audit-readiness and SFFAS 47 domain expertise — the materiality</w:t>
      </w:r>
      <w:r>
        <w:t xml:space="preserve"> </w:t>
      </w:r>
      <w:r>
        <w:t xml:space="preserve">methodology, related-party criterion, and the CMMC Level 2 / CUI-compliant environment in which Phase I</w:t>
      </w:r>
      <w:r>
        <w:t xml:space="preserve"> </w:t>
      </w:r>
      <w:r>
        <w:t xml:space="preserve">is performed.</w:t>
      </w:r>
      <w:r>
        <w:t xml:space="preserve"> </w:t>
      </w:r>
      <w:r>
        <w:rPr>
          <w:b/>
          <w:bCs/>
        </w:rPr>
        <w:t xml:space="preserve">GovCon Edu</w:t>
      </w:r>
      <w:r>
        <w:t xml:space="preserve"> </w:t>
      </w:r>
      <w:r>
        <w:t xml:space="preserve">contributes</w:t>
      </w:r>
      <w:r>
        <w:t xml:space="preserve"> </w:t>
      </w:r>
      <w:r>
        <w:rPr>
          <w:b/>
          <w:bCs/>
        </w:rPr>
        <w:t xml:space="preserve">Mindy</w:t>
      </w:r>
      <w:r>
        <w:t xml:space="preserve">, a production federal market-intelligence platform, as</w:t>
      </w:r>
      <w:r>
        <w:t xml:space="preserve"> </w:t>
      </w:r>
      <w:r>
        <w:t xml:space="preserve">the technical data engine: entity resolution across disparate identifiers, multi-source financial data</w:t>
      </w:r>
      <w:r>
        <w:t xml:space="preserve"> </w:t>
      </w:r>
      <w:r>
        <w:t xml:space="preserve">retrieval, dependency computation, and provenance-by-default evidence generation. The division is clean:</w:t>
      </w:r>
      <w:r>
        <w:t xml:space="preserve"> </w:t>
      </w:r>
      <w:r>
        <w:rPr>
          <w:rStyle w:val="VerbatimChar"/>
        </w:rPr>
        <w:t xml:space="preserve">[PRIME]</w:t>
      </w:r>
      <w:r>
        <w:t xml:space="preserve"> </w:t>
      </w:r>
      <w:r>
        <w:t xml:space="preserve">owns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; GovCon Edu owns the</w:t>
      </w:r>
      <w:r>
        <w:t xml:space="preserve"> </w:t>
      </w:r>
      <w:r>
        <w:rPr>
          <w:i/>
          <w:iCs/>
        </w:rPr>
        <w:t xml:space="preserve">data engineering and tooling</w:t>
      </w:r>
      <w:r>
        <w:t xml:space="preserve">. This lets the team</w:t>
      </w:r>
      <w:r>
        <w:t xml:space="preserve"> </w:t>
      </w:r>
      <w:r>
        <w:t xml:space="preserve">demonstrate Phase I feasibility as</w:t>
      </w:r>
      <w:r>
        <w:t xml:space="preserve"> </w:t>
      </w:r>
      <w:r>
        <w:rPr>
          <w:b/>
          <w:bCs/>
        </w:rPr>
        <w:t xml:space="preserve">integration and validation of proven components</w:t>
      </w:r>
      <w:r>
        <w:t xml:space="preserve">, not new research.</w:t>
      </w:r>
    </w:p>
    <w:p>
      <w:r>
        <w:pict>
          <v:rect style="width:0;height:1.5pt" o:hralign="center" o:hrstd="t" o:hr="t"/>
        </w:pict>
      </w:r>
    </w:p>
    <w:bookmarkEnd w:id="9"/>
    <w:bookmarkStart w:id="10" w:name="X7f1d48581d0d54fc1e94fbc68f89b0c5d82b201"/>
    <w:p>
      <w:pPr>
        <w:pStyle w:val="Heading2"/>
      </w:pPr>
      <w:r>
        <w:t xml:space="preserve">1. Solution overview</w:t>
      </w:r>
    </w:p>
    <w:p>
      <w:pPr>
        <w:pStyle w:val="FirstParagraph"/>
      </w:pPr>
      <w:r>
        <w:t xml:space="preserve">The proposed solution is an AI-driven, controls-backed</w:t>
      </w:r>
      <w:r>
        <w:t xml:space="preserve"> </w:t>
      </w:r>
      <w:r>
        <w:rPr>
          <w:b/>
          <w:bCs/>
        </w:rPr>
        <w:t xml:space="preserve">decision-support</w:t>
      </w:r>
      <w:r>
        <w:t xml:space="preserve"> </w:t>
      </w:r>
      <w:r>
        <w:t xml:space="preserve">system that automates DLA</w:t>
      </w:r>
      <w:r>
        <w:t xml:space="preserve"> </w:t>
      </w:r>
      <w:r>
        <w:t xml:space="preserve">J8's currently manual, ad-hoc screening of vendor economic dependency and related-party indicators under</w:t>
      </w:r>
      <w:r>
        <w:t xml:space="preserve"> </w:t>
      </w:r>
      <w:r>
        <w:t xml:space="preserve">SFFAS 47. It resolves a vendor universe from DLA's Enterprise Business System (EBS) transaction data,</w:t>
      </w:r>
      <w:r>
        <w:t xml:space="preserve"> </w:t>
      </w:r>
      <w:r>
        <w:t xml:space="preserve">computes each vendor's economic dependency on the DLA Working Capital Fund (WCF), retrieves the vendor's</w:t>
      </w:r>
      <w:r>
        <w:t xml:space="preserve"> </w:t>
      </w:r>
      <w:r>
        <w:t xml:space="preserve">total consolidated revenue from public and alternative sources, applies a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dependency</w:t>
      </w:r>
      <w:r>
        <w:t xml:space="preserve"> </w:t>
      </w:r>
      <w:r>
        <w:t xml:space="preserve">criterion, and produces an</w:t>
      </w:r>
      <w:r>
        <w:t xml:space="preserve"> </w:t>
      </w:r>
      <w:r>
        <w:rPr>
          <w:b/>
          <w:bCs/>
        </w:rPr>
        <w:t xml:space="preserve">independently re-computable audit-evidence package</w:t>
      </w:r>
      <w:r>
        <w:t xml:space="preserve"> </w:t>
      </w:r>
      <w:r>
        <w:t xml:space="preserve">for each finding. The</w:t>
      </w:r>
      <w:r>
        <w:t xml:space="preserve"> </w:t>
      </w:r>
      <w:r>
        <w:t xml:space="preserve">system</w:t>
      </w:r>
      <w:r>
        <w:t xml:space="preserve"> </w:t>
      </w:r>
      <w:r>
        <w:rPr>
          <w:b/>
          <w:bCs/>
        </w:rPr>
        <w:t xml:space="preserve">flags recommendations</w:t>
      </w:r>
      <w:r>
        <w:t xml:space="preserve"> </w:t>
      </w:r>
      <w:r>
        <w:t xml:space="preserve">for a human analyst; DLA J8/J7 retain all final SFFAS 47 disclosure and</w:t>
      </w:r>
      <w:r>
        <w:t xml:space="preserve"> </w:t>
      </w:r>
      <w:r>
        <w:t xml:space="preserve">consolidation determinations. Phase I proves feasibility end-to-end on DLA's de-identified EBS sample and</w:t>
      </w:r>
      <w:r>
        <w:t xml:space="preserve"> </w:t>
      </w:r>
      <w:r>
        <w:t xml:space="preserve">the named public sources; it does not build the production system (Phase II) or make binding</w:t>
      </w:r>
      <w:r>
        <w:t xml:space="preserve"> </w:t>
      </w:r>
      <w:r>
        <w:t xml:space="preserve">determinations (a government policy/legal function).</w:t>
      </w:r>
    </w:p>
    <w:bookmarkEnd w:id="10"/>
    <w:bookmarkStart w:id="11" w:name="X05cfe5e33a78ceab3d362fac83190937bb6f4b6"/>
    <w:p>
      <w:pPr>
        <w:pStyle w:val="Heading2"/>
      </w:pPr>
      <w:r>
        <w:t xml:space="preserve">2. The economic-dependency computation (per DLA's stated definition)</w:t>
      </w:r>
    </w:p>
    <w:p>
      <w:pPr>
        <w:pStyle w:val="FirstParagraph"/>
      </w:pPr>
      <w:r>
        <w:t xml:space="preserve">The core metric is:</w:t>
      </w:r>
    </w:p>
    <w:p>
      <w:pPr>
        <w:pStyle w:val="BodyText"/>
      </w:pPr>
      <w:r>
        <w:rPr>
          <w:b/>
          <w:bCs/>
        </w:rPr>
        <w:t xml:space="preserve">economic_dependency_% = (vendor's DLA WCF revenue / disbursements) ÷ (vendor's total consolidated parent gross revenue)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Numerator — DLA WCF revenue/disbursements.</w:t>
      </w:r>
      <w:r>
        <w:t xml:space="preserve"> </w:t>
      </w:r>
      <w:r>
        <w:t xml:space="preserve">Computed from the de-identified EBS transaction sample</w:t>
      </w:r>
      <w:r>
        <w:t xml:space="preserve"> </w:t>
      </w:r>
      <w:r>
        <w:t xml:space="preserve">(purchase orders and invoice postings), aggregated by parent vendor. Consistent with DLA's guidance,</w:t>
      </w:r>
      <w:r>
        <w:t xml:space="preserve"> </w:t>
      </w:r>
      <w:r>
        <w:t xml:space="preserve">the numerator uses</w:t>
      </w:r>
      <w:r>
        <w:t xml:space="preserve"> </w:t>
      </w:r>
      <w:r>
        <w:rPr>
          <w:b/>
          <w:bCs/>
        </w:rPr>
        <w:t xml:space="preserve">accruals and actual disbursements</w:t>
      </w:r>
      <w:r>
        <w:t xml:space="preserve">, not obligations — because obligations do not</w:t>
      </w:r>
      <w:r>
        <w:t xml:space="preserve"> </w:t>
      </w:r>
      <w:r>
        <w:t xml:space="preserve">represent realized vendor revenue. This is the numerator that supports DLA's SFFAS 47 related-party</w:t>
      </w:r>
      <w:r>
        <w:t xml:space="preserve"> </w:t>
      </w:r>
      <w:r>
        <w:t xml:space="preserve">disclosures and the WCF audit finding this topic addresses. Mindy's aggregation-by-parent-vendor</w:t>
      </w:r>
      <w:r>
        <w:t xml:space="preserve"> </w:t>
      </w:r>
      <w:r>
        <w:t xml:space="preserve">machinery, proven at scale on federal award data, is applied to the EBS transaction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Denominator — total consolidated parent gross revenue.</w:t>
      </w:r>
      <w:r>
        <w:t xml:space="preserve"> </w:t>
      </w:r>
      <w:r>
        <w:t xml:space="preserve">Assessed at the consolidated-parent level</w:t>
      </w:r>
      <w:r>
        <w:t xml:space="preserve"> </w:t>
      </w:r>
      <w:r>
        <w:t xml:space="preserve">per SFFAS 47; segment-level revenue is captured as an optional secondary analytic layer where</w:t>
      </w:r>
      <w:r>
        <w:t xml:space="preserve"> </w:t>
      </w:r>
      <w:r>
        <w:t xml:space="preserve">disclosed.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reliance layer.</w:t>
      </w:r>
      <w:r>
        <w:t xml:space="preserve"> </w:t>
      </w:r>
      <w:r>
        <w:t xml:space="preserve">In parallel, Mindy computes each vendor's aggregate reliance on the</w:t>
      </w:r>
      <w:r>
        <w:t xml:space="preserve"> </w:t>
      </w:r>
      <w:r>
        <w:t xml:space="preserve">broader Federal Government from public award data (USASpending/FPDS) — a supply-chain concentration</w:t>
      </w:r>
      <w:r>
        <w:t xml:space="preserve"> </w:t>
      </w:r>
      <w:r>
        <w:t xml:space="preserve">view for DLA J7. This is a proven, live Mindy capability (federal obligated dollars per vendor by UEI</w:t>
      </w:r>
      <w:r>
        <w:t xml:space="preserve"> </w:t>
      </w:r>
      <w:r>
        <w:t xml:space="preserve">across 317K contractors) and is presented as the favorably-viewed secondary layer, distinct from the</w:t>
      </w:r>
      <w:r>
        <w:t xml:space="preserve"> </w:t>
      </w:r>
      <w:r>
        <w:t xml:space="preserve">WCF compliance numerator.</w:t>
      </w:r>
    </w:p>
    <w:bookmarkEnd w:id="11"/>
    <w:bookmarkStart w:id="12" w:name="Xdf05bbe08e3cd436688680510a66d97f5f40b6a"/>
    <w:p>
      <w:pPr>
        <w:pStyle w:val="Heading2"/>
      </w:pPr>
      <w:r>
        <w:t xml:space="preserve">3. Technical approach — the Phase I pipeline</w:t>
      </w:r>
    </w:p>
    <w:p>
      <w:pPr>
        <w:pStyle w:val="FirstParagraph"/>
      </w:pPr>
      <w:r>
        <w:rPr>
          <w:b/>
          <w:bCs/>
        </w:rPr>
        <w:t xml:space="preserve">Stage 1 — Entity resolution across schemas.</w:t>
      </w:r>
      <w:r>
        <w:t xml:space="preserve"> </w:t>
      </w:r>
      <w:r>
        <w:t xml:space="preserve">The de-identified EBS sample will not align line-by-line</w:t>
      </w:r>
      <w:r>
        <w:t xml:space="preserve"> </w:t>
      </w:r>
      <w:r>
        <w:t xml:space="preserve">with live public filings, so robust entity resolution is a core Phase I demonstration. Mindy normalizes,</w:t>
      </w:r>
      <w:r>
        <w:t xml:space="preserve"> </w:t>
      </w:r>
      <w:r>
        <w:t xml:space="preserve">cleans, and joins vendor records across index keys (</w:t>
      </w:r>
      <w:r>
        <w:rPr>
          <w:b/>
          <w:bCs/>
        </w:rPr>
        <w:t xml:space="preserve">CAGE, DUNS, EIN, UEI</w:t>
      </w:r>
      <w:r>
        <w:t xml:space="preserve">), reconciling the standard</w:t>
      </w:r>
      <w:r>
        <w:t xml:space="preserve"> </w:t>
      </w:r>
      <w:r>
        <w:t xml:space="preserve">ERP field names with DLA-specific labels and handling realistic formatting discrepancies (inconsistent</w:t>
      </w:r>
      <w:r>
        <w:t xml:space="preserve"> </w:t>
      </w:r>
      <w:r>
        <w:t xml:space="preserve">document numbering, duplicate names). Mindy's contractor spine already keys on these identifiers in</w:t>
      </w:r>
      <w:r>
        <w:t xml:space="preserve"> </w:t>
      </w:r>
      <w:r>
        <w:t xml:space="preserve">production.</w:t>
      </w:r>
    </w:p>
    <w:p>
      <w:pPr>
        <w:pStyle w:val="BodyText"/>
      </w:pPr>
      <w:r>
        <w:rPr>
          <w:b/>
          <w:bCs/>
        </w:rPr>
        <w:t xml:space="preserve">Stage 2 — WCF numerator.</w:t>
      </w:r>
      <w:r>
        <w:t xml:space="preserve"> </w:t>
      </w:r>
      <w:r>
        <w:t xml:space="preserve">Aggregate DLA WCF revenue/disbursements per resolved parent vendor from the</w:t>
      </w:r>
      <w:r>
        <w:t xml:space="preserve"> </w:t>
      </w:r>
      <w:r>
        <w:t xml:space="preserve">EBS transaction sample. The secondary federal-wide reliance layer is computed in parallel.</w:t>
      </w:r>
    </w:p>
    <w:p>
      <w:pPr>
        <w:pStyle w:val="BodyText"/>
      </w:pPr>
      <w:r>
        <w:rPr>
          <w:b/>
          <w:bCs/>
        </w:rPr>
        <w:t xml:space="preserve">Stage 3 — Public-filer financials.</w:t>
      </w:r>
      <w:r>
        <w:t xml:space="preserve"> </w:t>
      </w:r>
      <w:r>
        <w:t xml:space="preserve">Automated</w:t>
      </w:r>
      <w:r>
        <w:t xml:space="preserve"> </w:t>
      </w:r>
      <w:r>
        <w:rPr>
          <w:b/>
          <w:bCs/>
        </w:rPr>
        <w:t xml:space="preserve">SEC EDGAR</w:t>
      </w:r>
      <w:r>
        <w:t xml:space="preserve"> </w:t>
      </w:r>
      <w:r>
        <w:t xml:space="preserve">retrieval of consolidated-parent total</w:t>
      </w:r>
      <w:r>
        <w:t xml:space="preserve"> </w:t>
      </w:r>
      <w:r>
        <w:t xml:space="preserve">revenue (XBRL</w:t>
      </w:r>
      <w:r>
        <w:t xml:space="preserve"> </w:t>
      </w:r>
      <w:r>
        <w:rPr>
          <w:rStyle w:val="VerbatimChar"/>
        </w:rPr>
        <w:t xml:space="preserve">Revenues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RevenueFromContractWithCustomer</w:t>
      </w:r>
      <w:r>
        <w:t xml:space="preserve"> </w:t>
      </w:r>
      <w:r>
        <w:t xml:space="preserve">facts), with RAG/NLP text-mining of the</w:t>
      </w:r>
      <w:r>
        <w:t xml:space="preserve"> </w:t>
      </w:r>
      <w:r>
        <w:t xml:space="preserve">10-K for related-party disclosures, revenue-concentration language, and</w:t>
      </w:r>
      <w:r>
        <w:t xml:space="preserve"> </w:t>
      </w:r>
      <w:r>
        <w:rPr>
          <w:b/>
          <w:bCs/>
        </w:rPr>
        <w:t xml:space="preserve">going-concern</w:t>
      </w:r>
      <w:r>
        <w:t xml:space="preserve"> </w:t>
      </w:r>
      <w:r>
        <w:t xml:space="preserve">footnotes</w:t>
      </w:r>
      <w:r>
        <w:t xml:space="preserve"> </w:t>
      </w:r>
      <w:r>
        <w:t xml:space="preserve">(FASB ASC 205-40).</w:t>
      </w:r>
    </w:p>
    <w:p>
      <w:pPr>
        <w:pStyle w:val="BodyText"/>
      </w:pPr>
      <w:r>
        <w:rPr>
          <w:b/>
          <w:bCs/>
        </w:rPr>
        <w:t xml:space="preserve">Stage 4 — Private and foreign vendor feasibility (in scope for Phase I).</w:t>
      </w:r>
      <w:r>
        <w:t xml:space="preserve"> </w:t>
      </w:r>
      <w:r>
        <w:t xml:space="preserve">For vendors with no public</w:t>
      </w:r>
      <w:r>
        <w:t xml:space="preserve"> </w:t>
      </w:r>
      <w:r>
        <w:t xml:space="preserve">SEC filing, the pipeline demonstrates a feasible workflow to estimate gross revenue: automated</w:t>
      </w:r>
      <w:r>
        <w:t xml:space="preserve"> </w:t>
      </w:r>
      <w:r>
        <w:t xml:space="preserve">web-harvesting of published audited statements from corporate sites, PDF parsing / OCR of financial</w:t>
      </w:r>
      <w:r>
        <w:t xml:space="preserve"> </w:t>
      </w:r>
      <w:r>
        <w:t xml:space="preserve">sheets, and programmatic integration with commercial credit / corporate databases (e.g., Dun &amp;</w:t>
      </w:r>
      <w:r>
        <w:t xml:space="preserve"> </w:t>
      </w:r>
      <w:r>
        <w:t xml:space="preserve">Bradstreet, Experian). Each estimate carries a</w:t>
      </w:r>
      <w:r>
        <w:t xml:space="preserve"> </w:t>
      </w:r>
      <w:r>
        <w:rPr>
          <w:b/>
          <w:bCs/>
        </w:rPr>
        <w:t xml:space="preserve">reproducible confidence / data-reliability index</w:t>
      </w:r>
      <w:r>
        <w:t xml:space="preserve"> </w:t>
      </w:r>
      <w:r>
        <w:t xml:space="preserve">— a</w:t>
      </w:r>
      <w:r>
        <w:t xml:space="preserve"> </w:t>
      </w:r>
      <w:r>
        <w:t xml:space="preserve">re-derivable calculation, not a qualitative flag — and, where alternative sources are exhausted, the</w:t>
      </w:r>
      <w:r>
        <w:t xml:space="preserve"> </w:t>
      </w:r>
      <w:r>
        <w:t xml:space="preserve">tool</w:t>
      </w:r>
      <w:r>
        <w:t xml:space="preserve"> </w:t>
      </w:r>
      <w:r>
        <w:rPr>
          <w:b/>
          <w:bCs/>
        </w:rPr>
        <w:t xml:space="preserve">falls back to SAM.gov</w:t>
      </w:r>
      <w:r>
        <w:t xml:space="preserve"> </w:t>
      </w:r>
      <w:r>
        <w:t xml:space="preserve">business-size/revenue representations and flags a documented coverage gap.</w:t>
      </w:r>
    </w:p>
    <w:p>
      <w:pPr>
        <w:pStyle w:val="BodyText"/>
      </w:pPr>
      <w:r>
        <w:rPr>
          <w:b/>
          <w:bCs/>
        </w:rPr>
        <w:t xml:space="preserve">Stage 5 — Configurable Policy Engine and risk scoring.</w:t>
      </w:r>
      <w:r>
        <w:t xml:space="preserve"> </w:t>
      </w:r>
      <w:r>
        <w:t xml:space="preserve">Dependency % is compared against a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trigger — a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revenue-concentration baseline (aligned with FASB ASC 280-10-50-42</w:t>
      </w:r>
      <w:r>
        <w:t xml:space="preserve"> </w:t>
      </w:r>
      <w:r>
        <w:t xml:space="preserve">major-customer disclosure) combined with going-concern detection — which J8 analysts adjust (e.g., 5%,</w:t>
      </w:r>
      <w:r>
        <w:t xml:space="preserve"> </w:t>
      </w:r>
      <w:r>
        <w:t xml:space="preserve">10%, 20%) and toggle NLP footnote filters through a simple UI; no hardcoded threshold. Risk is weighted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contract type in combination with active contract-financing flags</w:t>
      </w:r>
      <w:r>
        <w:t xml:space="preserve"> </w:t>
      </w:r>
      <w:r>
        <w:t xml:space="preserve">(advance/progress-payment</w:t>
      </w:r>
      <w:r>
        <w:t xml:space="preserve"> </w:t>
      </w:r>
      <w:r>
        <w:t xml:space="preserve">indicators, which increase DLA's financial exposure), and findings are mapped to the</w:t>
      </w:r>
      <w:r>
        <w:t xml:space="preserve"> </w:t>
      </w:r>
      <w:r>
        <w:rPr>
          <w:b/>
          <w:bCs/>
        </w:rPr>
        <w:t xml:space="preserve">GAO Financial</w:t>
      </w:r>
      <w:r>
        <w:rPr>
          <w:b/>
          <w:bCs/>
        </w:rPr>
        <w:t xml:space="preserve"> </w:t>
      </w:r>
      <w:r>
        <w:rPr>
          <w:b/>
          <w:bCs/>
        </w:rPr>
        <w:t xml:space="preserve">Audit Manual (§230 and §1001) five-step materiality cascade</w:t>
      </w:r>
      <w:r>
        <w:t xml:space="preserve"> </w:t>
      </w:r>
      <w:r>
        <w:t xml:space="preserve">from DLA WCF Total Gross Cost.</w:t>
      </w:r>
      <w:r>
        <w:t xml:space="preserve"> </w:t>
      </w:r>
      <w:r>
        <w:rPr>
          <w:rStyle w:val="VerbatimChar"/>
        </w:rPr>
        <w:t xml:space="preserve">[PRIME]</w:t>
      </w:r>
      <w:r>
        <w:t xml:space="preserve"> </w:t>
      </w:r>
      <w:r>
        <w:t xml:space="preserve">defines the SFFAS-47 criterion and materiality mapping that the engine implements.</w:t>
      </w:r>
    </w:p>
    <w:p>
      <w:pPr>
        <w:pStyle w:val="BodyText"/>
      </w:pPr>
      <w:r>
        <w:rPr>
          <w:b/>
          <w:bCs/>
        </w:rPr>
        <w:t xml:space="preserve">Stage 6 — Audit-evidence package and Human-in-the-Loop workspace.</w:t>
      </w:r>
      <w:r>
        <w:t xml:space="preserve"> </w:t>
      </w:r>
      <w:r>
        <w:t xml:space="preserve">For every finding, the system</w:t>
      </w:r>
      <w:r>
        <w:t xml:space="preserve"> </w:t>
      </w:r>
      <w:r>
        <w:t xml:space="preserve">emits a self-contained,</w:t>
      </w:r>
      <w:r>
        <w:t xml:space="preserve"> </w:t>
      </w:r>
      <w:r>
        <w:rPr>
          <w:b/>
          <w:bCs/>
        </w:rPr>
        <w:t xml:space="preserve">exportable, independently re-computable</w:t>
      </w:r>
      <w:r>
        <w:t xml:space="preserve"> </w:t>
      </w:r>
      <w:r>
        <w:t xml:space="preserve">record: exact source data with an</w:t>
      </w:r>
      <w:r>
        <w:t xml:space="preserve"> </w:t>
      </w:r>
      <w:r>
        <w:t xml:space="preserve">as-of snapshot, calculation basis and logic, and a signed record of the specific configurable threshold</w:t>
      </w:r>
      <w:r>
        <w:t xml:space="preserve"> </w:t>
      </w:r>
      <w:r>
        <w:t xml:space="preserve">and data snapshot that produced the determination — so a prior fiscal-year SFFAS 47 disclosure can be</w:t>
      </w:r>
      <w:r>
        <w:t xml:space="preserve"> </w:t>
      </w:r>
      <w:r>
        <w:t xml:space="preserve">re-derived exactly during a later audit,</w:t>
      </w:r>
      <w:r>
        <w:t xml:space="preserve"> </w:t>
      </w:r>
      <w:r>
        <w:rPr>
          <w:b/>
          <w:bCs/>
        </w:rPr>
        <w:t xml:space="preserve">outside the live tool</w:t>
      </w:r>
      <w:r>
        <w:t xml:space="preserve">. Findings are presented in an</w:t>
      </w:r>
      <w:r>
        <w:t xml:space="preserve"> </w:t>
      </w:r>
      <w:r>
        <w:t xml:space="preserve">interactive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with side-by-side evidence inspection and Human-in-the-Loop analyst controls.</w:t>
      </w:r>
      <w:r>
        <w:t xml:space="preserve"> </w:t>
      </w:r>
      <w:r>
        <w:t xml:space="preserve">The standard workflow is a large-scale</w:t>
      </w:r>
      <w:r>
        <w:t xml:space="preserve"> </w:t>
      </w:r>
      <w:r>
        <w:rPr>
          <w:b/>
          <w:bCs/>
        </w:rPr>
        <w:t xml:space="preserve">batch upload</w:t>
      </w:r>
      <w:r>
        <w:t xml:space="preserve"> </w:t>
      </w:r>
      <w:r>
        <w:t xml:space="preserve">of vendor datasets at reporting intervals plus</w:t>
      </w:r>
      <w:r>
        <w:t xml:space="preserve"> </w:t>
      </w:r>
      <w:r>
        <w:t xml:space="preserve">point-in-time maintenance queries.</w:t>
      </w:r>
    </w:p>
    <w:p>
      <w:pPr>
        <w:pStyle w:val="BodyText"/>
      </w:pPr>
      <w:r>
        <w:rPr>
          <w:b/>
          <w:bCs/>
        </w:rPr>
        <w:t xml:space="preserve">AI/NLP role, scoped for auditability.</w:t>
      </w:r>
      <w:r>
        <w:t xml:space="preserve"> </w:t>
      </w:r>
      <w:r>
        <w:t xml:space="preserve">NLP/RAG handles entity-name normalization, financial-statement</w:t>
      </w:r>
      <w:r>
        <w:t xml:space="preserve"> </w:t>
      </w:r>
      <w:r>
        <w:t xml:space="preserve">text-mining (related-party, concentration, going-concern), and OCR of private financials. The dependency</w:t>
      </w:r>
      <w:r>
        <w:t xml:space="preserve"> </w:t>
      </w:r>
      <w:r>
        <w:t xml:space="preserve">calculation and the confidence index are</w:t>
      </w:r>
      <w:r>
        <w:t xml:space="preserve"> </w:t>
      </w:r>
      <w:r>
        <w:rPr>
          <w:b/>
          <w:bCs/>
        </w:rPr>
        <w:t xml:space="preserve">deterministic, re-derivable math</w:t>
      </w:r>
      <w:r>
        <w:t xml:space="preserve"> </w:t>
      </w:r>
      <w:r>
        <w:t xml:space="preserve">— never a black box —</w:t>
      </w:r>
      <w:r>
        <w:t xml:space="preserve"> </w:t>
      </w:r>
      <w:r>
        <w:t xml:space="preserve">satisfying the topic's requirement for absolute explainability and transparency to financial auditors.</w:t>
      </w:r>
    </w:p>
    <w:bookmarkEnd w:id="12"/>
    <w:bookmarkStart w:id="13" w:name="X54ab9b8a623082dc0bb3b7cc54707b54055d9db"/>
    <w:p>
      <w:pPr>
        <w:pStyle w:val="Heading2"/>
      </w:pPr>
      <w:r>
        <w:t xml:space="preserve">4. Data sources (Phase I)</w:t>
      </w:r>
    </w:p>
    <w:p>
      <w:pPr>
        <w:pStyle w:val="FirstParagraph"/>
      </w:pPr>
      <w:r>
        <w:t xml:space="preserve">Core sources are the</w:t>
      </w:r>
      <w:r>
        <w:t xml:space="preserve"> </w:t>
      </w:r>
      <w:r>
        <w:rPr>
          <w:b/>
          <w:bCs/>
        </w:rPr>
        <w:t xml:space="preserve">DLA EBS sample</w:t>
      </w:r>
      <w:r>
        <w:t xml:space="preserve"> </w:t>
      </w:r>
      <w:r>
        <w:t xml:space="preserve">(provided under NDA/Data Use),</w:t>
      </w:r>
      <w:r>
        <w:t xml:space="preserve"> </w:t>
      </w:r>
      <w:r>
        <w:rPr>
          <w:b/>
          <w:bCs/>
        </w:rPr>
        <w:t xml:space="preserve">SEC EDGAR</w:t>
      </w:r>
      <w:r>
        <w:t xml:space="preserve">, and</w:t>
      </w:r>
      <w:r>
        <w:t xml:space="preserve"> </w:t>
      </w:r>
      <w:r>
        <w:rPr>
          <w:b/>
          <w:bCs/>
        </w:rPr>
        <w:t xml:space="preserve">SAM.gov</w:t>
      </w:r>
      <w:r>
        <w:t xml:space="preserve">,</w:t>
      </w:r>
      <w:r>
        <w:t xml:space="preserve"> </w:t>
      </w:r>
      <w:r>
        <w:t xml:space="preserve">consistent with DLA's guidance. USASpending/FPDS is used only for the secondary federal-wide reliance</w:t>
      </w:r>
      <w:r>
        <w:t xml:space="preserve"> </w:t>
      </w:r>
      <w:r>
        <w:t xml:space="preserve">layer; DIBBS is out of scope (its critical contract data is already duplicated in EBS). No live EBS API,</w:t>
      </w:r>
      <w:r>
        <w:t xml:space="preserve"> </w:t>
      </w:r>
      <w:r>
        <w:t xml:space="preserve">DLA sandbox, or DCAA/DCMA data is required in Phase I; external public sources are acquired via their own</w:t>
      </w:r>
      <w:r>
        <w:t xml:space="preserve"> </w:t>
      </w:r>
      <w:r>
        <w:t xml:space="preserve">public REST/XBRL APIs.</w:t>
      </w:r>
    </w:p>
    <w:bookmarkEnd w:id="13"/>
    <w:bookmarkStart w:id="14" w:name="X897a46db524749ffbada87c780abb7f72c5ef2a"/>
    <w:p>
      <w:pPr>
        <w:pStyle w:val="Heading2"/>
      </w:pPr>
      <w:r>
        <w:t xml:space="preserve">5. Phase I deliverables (GovCon Edu technical scope)</w:t>
      </w:r>
    </w:p>
    <w:p>
      <w:pPr>
        <w:pStyle w:val="Compact"/>
        <w:numPr>
          <w:ilvl w:val="0"/>
          <w:numId w:val="1002"/>
        </w:numPr>
      </w:pPr>
      <w:r>
        <w:t xml:space="preserve">Proof-of-concept tool running the pipeline on the EBS sample, including the Configurable Policy Engine</w:t>
      </w:r>
      <w:r>
        <w:t xml:space="preserve"> </w:t>
      </w:r>
      <w:r>
        <w:t xml:space="preserve">and the Human-in-the-Loop evidence dashboard.</w:t>
      </w:r>
    </w:p>
    <w:p>
      <w:pPr>
        <w:pStyle w:val="Compact"/>
        <w:numPr>
          <w:ilvl w:val="0"/>
          <w:numId w:val="1002"/>
        </w:numPr>
      </w:pPr>
      <w:r>
        <w:t xml:space="preserve">Private/foreign-vendor feasibility demonstration (web-harvest / OCR / commercial-DB) with confidence</w:t>
      </w:r>
      <w:r>
        <w:t xml:space="preserve"> </w:t>
      </w:r>
      <w:r>
        <w:t xml:space="preserve">index and SAM.gov fallback.</w:t>
      </w:r>
    </w:p>
    <w:p>
      <w:pPr>
        <w:pStyle w:val="Compact"/>
        <w:numPr>
          <w:ilvl w:val="0"/>
          <w:numId w:val="1002"/>
        </w:numPr>
      </w:pPr>
      <w:r>
        <w:t xml:space="preserve">Exportable, independently re-computable audit-evidence packages.</w:t>
      </w:r>
    </w:p>
    <w:p>
      <w:pPr>
        <w:pStyle w:val="Compact"/>
        <w:numPr>
          <w:ilvl w:val="0"/>
          <w:numId w:val="1002"/>
        </w:numPr>
      </w:pPr>
      <w:r>
        <w:t xml:space="preserve">Golden-dataset methodology (EBS + SAM.gov + SEC EDGAR reference baseline) with flag-accuracy and</w:t>
      </w:r>
      <w:r>
        <w:t xml:space="preserve"> </w:t>
      </w:r>
      <w:r>
        <w:t xml:space="preserve">edge-case metrics.</w:t>
      </w:r>
    </w:p>
    <w:p>
      <w:pPr>
        <w:pStyle w:val="Compact"/>
        <w:numPr>
          <w:ilvl w:val="0"/>
          <w:numId w:val="1002"/>
        </w:numPr>
      </w:pPr>
      <w:r>
        <w:t xml:space="preserve">Inputs to the Phase II plan: an IL-5 / GCP target architecture, with SEC EDGAR / SAM.gov ingestion</w:t>
      </w:r>
      <w:r>
        <w:t xml:space="preserve"> </w:t>
      </w:r>
      <w:r>
        <w:t xml:space="preserve">routed through DLA J6 secure proxies, EBS integration, and the 12–18-month ATO timeline factored in.</w:t>
      </w:r>
    </w:p>
    <w:bookmarkEnd w:id="14"/>
    <w:bookmarkStart w:id="16" w:name="Xb1e591098be81d13cba14defe8f65e0e8094257"/>
    <w:p>
      <w:pPr>
        <w:pStyle w:val="Heading2"/>
      </w:pPr>
      <w:r>
        <w:t xml:space="preserve">6. Why this team can do it (feasibility, no overclaim)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data-engineering risk is retired.</w:t>
      </w:r>
      <w:r>
        <w:t xml:space="preserve"> </w:t>
      </w:r>
      <w:r>
        <w:t xml:space="preserve">Mindy runs production entity resolution and multi-source</w:t>
      </w:r>
      <w:r>
        <w:t xml:space="preserve"> </w:t>
      </w:r>
      <w:r>
        <w:t xml:space="preserve">financial joins across 317K contractors, with a public-financial retrieval pipeline and provenance on</w:t>
      </w:r>
      <w:r>
        <w:t xml:space="preserve"> </w:t>
      </w:r>
      <w:r>
        <w:t xml:space="preserve">every figure — the exact spine both the numerator and denominator ride on. Phase I integrates and</w:t>
      </w:r>
      <w:r>
        <w:t xml:space="preserve"> </w:t>
      </w:r>
      <w:r>
        <w:t xml:space="preserve">validates proven components rather than researching new 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Federal-spend-per-vendor at scale is live</w:t>
      </w:r>
      <w:r>
        <w:t xml:space="preserve">, providing the secondary reliance layer directly and the</w:t>
      </w:r>
      <w:r>
        <w:t xml:space="preserve"> </w:t>
      </w:r>
      <w:r>
        <w:t xml:space="preserve">aggregation machinery reused for the WCF numerator.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Provenance and explainability are built in</w:t>
      </w:r>
      <w:r>
        <w:t xml:space="preserve">, matching the independently re-computable evidence the</w:t>
      </w:r>
      <w:r>
        <w:t xml:space="preserve"> </w:t>
      </w:r>
      <w:r>
        <w:t xml:space="preserve">topic demands.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Mature, dual-use, high-TRL</w:t>
      </w:r>
      <w:r>
        <w:t xml:space="preserve"> </w:t>
      </w:r>
      <w:r>
        <w:t xml:space="preserve">— Mindy is a commercially viable platform, aligning with DLA's stated</w:t>
      </w:r>
      <w:r>
        <w:t xml:space="preserve"> </w:t>
      </w:r>
      <w:r>
        <w:t xml:space="preserve">preference to customize and integrate a mature dual-use tool over greenfield development.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[PRIME]</w:t>
      </w:r>
      <w:r>
        <w:rPr>
          <w:b/>
          <w:bCs/>
        </w:rPr>
        <w:t xml:space="preserve"> </w:t>
      </w:r>
      <w:r>
        <w:rPr>
          <w:b/>
          <w:bCs/>
        </w:rPr>
        <w:t xml:space="preserve">anchors the standard</w:t>
      </w:r>
      <w:r>
        <w:t xml:space="preserve"> </w:t>
      </w:r>
      <w:r>
        <w:t xml:space="preserve">— SFFAS 47 criterion, GAO-FAM materiality, related-party</w:t>
      </w:r>
      <w:r>
        <w:t xml:space="preserve"> </w:t>
      </w:r>
      <w:r>
        <w:t xml:space="preserve">determination logic — and provides the CMMC Level 2, CUI-compliant environment in which Phase I is</w:t>
      </w:r>
      <w:r>
        <w:t xml:space="preserve"> </w:t>
      </w:r>
      <w:r>
        <w:t xml:space="preserve">performed.</w:t>
      </w:r>
    </w:p>
    <w:p>
      <w:r>
        <w:pict>
          <v:rect style="width:0;height:1.5pt" o:hralign="center" o:hrstd="t" o:hr="t"/>
        </w:pict>
      </w:r>
    </w:p>
    <w:bookmarkStart w:id="15" w:name="Xa36dbbeae54604feb606372a48a15a376b5893a"/>
    <w:p>
      <w:pPr>
        <w:pStyle w:val="Heading3"/>
      </w:pPr>
      <w:r>
        <w:t xml:space="preserve">Honest-scope note (for the team, delete before submission)</w:t>
      </w:r>
    </w:p>
    <w:p>
      <w:pPr>
        <w:pStyle w:val="FirstParagraph"/>
      </w:pPr>
      <w:r>
        <w:t xml:space="preserve">Mindy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compute the DLA WCF numerator today — that runs on DLA's post-NDA EBS sample. What is</w:t>
      </w:r>
      <w:r>
        <w:t xml:space="preserve"> </w:t>
      </w:r>
      <w:r>
        <w:t xml:space="preserve">live and demoable is every enabling capability (entity resolution, aggregation by parent, denominator</w:t>
      </w:r>
      <w:r>
        <w:t xml:space="preserve"> </w:t>
      </w:r>
      <w:r>
        <w:t xml:space="preserve">retrieval, provenance, private-vendor fallback). Claim the enabling capabilities as live; describe the</w:t>
      </w:r>
      <w:r>
        <w:t xml:space="preserve"> </w:t>
      </w:r>
      <w:r>
        <w:t xml:space="preserve">WCF numerator, private-vendor estimation, and SFFAS-47 mapping as demonstrated Phase I feasibility.</w:t>
      </w:r>
      <w:r>
        <w:t xml:space="preserve"> </w:t>
      </w:r>
      <w:r>
        <w:t xml:space="preserve">Do not claim CMMC/audit expertise on GovCon Edu's side — that is</w:t>
      </w:r>
      <w:r>
        <w:t xml:space="preserve"> </w:t>
      </w:r>
      <w:r>
        <w:rPr>
          <w:rStyle w:val="VerbatimChar"/>
        </w:rPr>
        <w:t xml:space="preserve">[PRIME]</w:t>
      </w:r>
      <w:r>
        <w:t xml:space="preserve">'s.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2026-07-15T15:17:21Z</dcterms:created>
  <dcterms:modified xsi:type="dcterms:W3CDTF">2026-07-15T15:17:21Z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