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an-you-actually-use-your-brokers-app"/>
    <w:p>
      <w:pPr>
        <w:pStyle w:val="Heading1"/>
      </w:pPr>
      <w:r>
        <w:t xml:space="preserve">Can You Actually Use Your Broker’s App?</w:t>
      </w:r>
    </w:p>
    <w:bookmarkStart w:id="9" w:name="X69412cdc66c0acc1c6bc09b8a77171c7a97325b"/>
    <w:p>
      <w:pPr>
        <w:pStyle w:val="Heading2"/>
      </w:pPr>
      <w:r>
        <w:t xml:space="preserve">A guide for every Indian investor to a right you probably don’t know you have</w:t>
      </w:r>
    </w:p>
    <w:p>
      <w:pPr>
        <w:pStyle w:val="FirstParagraph"/>
      </w:pPr>
      <w:r>
        <w:rPr>
          <w:b/>
          <w:bCs/>
        </w:rPr>
        <w:t xml:space="preserve">Version 1 · August 2026</w:t>
      </w:r>
    </w:p>
    <w:p>
      <w:r>
        <w:pict>
          <v:rect style="width:0;height:1.5pt" o:hralign="center" o:hrstd="t" o:hr="t"/>
        </w:pict>
      </w:r>
    </w:p>
    <w:bookmarkEnd w:id="9"/>
    <w:bookmarkStart w:id="10" w:name="contents"/>
    <w:p>
      <w:pPr>
        <w:pStyle w:val="Heading2"/>
      </w:pPr>
      <w:r>
        <w:t xml:space="preserve">Contents</w:t>
      </w:r>
    </w:p>
    <w:p>
      <w:pPr>
        <w:pStyle w:val="FirstParagraph"/>
      </w:pPr>
      <w:r>
        <w:rPr>
          <w:b/>
          <w:bCs/>
        </w:rPr>
        <w:t xml:space="preserve">Before we begin</w:t>
      </w:r>
      <w:r>
        <w:t xml:space="preserve"> </w:t>
      </w:r>
      <w:r>
        <w:t xml:space="preserve">— who this guide is for, and how to read it</w:t>
      </w:r>
    </w:p>
    <w:p>
      <w:pPr>
        <w:pStyle w:val="BodyText"/>
      </w:pPr>
      <w:r>
        <w:rPr>
          <w:b/>
          <w:bCs/>
        </w:rPr>
        <w:t xml:space="preserve">Chapter 1 — A morning that did not work</w:t>
      </w:r>
      <w:r>
        <w:t xml:space="preserve"> </w:t>
      </w:r>
      <w:r>
        <w:t xml:space="preserve">The story of one failed account opening, and what it tells you.</w:t>
      </w:r>
    </w:p>
    <w:p>
      <w:pPr>
        <w:pStyle w:val="BodyText"/>
      </w:pPr>
      <w:r>
        <w:rPr>
          <w:b/>
          <w:bCs/>
        </w:rPr>
        <w:t xml:space="preserve">Chapter 2 — What</w:t>
      </w:r>
      <w:r>
        <w:rPr>
          <w:b/>
          <w:bCs/>
        </w:rPr>
        <w:t xml:space="preserve"> </w:t>
      </w:r>
      <w:r>
        <w:rPr>
          <w:b/>
          <w:bCs/>
        </w:rPr>
        <w:t xml:space="preserve">“digital accessibility”</w:t>
      </w:r>
      <w:r>
        <w:rPr>
          <w:b/>
          <w:bCs/>
        </w:rPr>
        <w:t xml:space="preserve"> </w:t>
      </w:r>
      <w:r>
        <w:rPr>
          <w:b/>
          <w:bCs/>
        </w:rPr>
        <w:t xml:space="preserve">actually means</w:t>
      </w:r>
      <w:r>
        <w:t xml:space="preserve"> </w:t>
      </w:r>
      <w:r>
        <w:t xml:space="preserve">How a page becomes speech; the four properties; who is affected.</w:t>
      </w:r>
    </w:p>
    <w:p>
      <w:pPr>
        <w:pStyle w:val="BodyText"/>
      </w:pPr>
      <w:r>
        <w:rPr>
          <w:b/>
          <w:bCs/>
        </w:rPr>
        <w:t xml:space="preserve">Chapter 3 — Where your right comes from</w:t>
      </w:r>
      <w:r>
        <w:t xml:space="preserve"> </w:t>
      </w:r>
      <w:r>
        <w:t xml:space="preserve">The RPwD Act, the Supreme Court, and SEBI.</w:t>
      </w:r>
    </w:p>
    <w:p>
      <w:pPr>
        <w:pStyle w:val="BodyText"/>
      </w:pPr>
      <w:r>
        <w:rPr>
          <w:b/>
          <w:bCs/>
        </w:rPr>
        <w:t xml:space="preserve">Chapter 4 — What SEBI told your broker to do</w:t>
      </w:r>
      <w:r>
        <w:t xml:space="preserve"> </w:t>
      </w:r>
      <w:r>
        <w:t xml:space="preserve">The timeline, the standards, and the ten things you are owed.</w:t>
      </w:r>
    </w:p>
    <w:p>
      <w:pPr>
        <w:pStyle w:val="BodyText"/>
      </w:pPr>
      <w:r>
        <w:rPr>
          <w:b/>
          <w:bCs/>
        </w:rPr>
        <w:t xml:space="preserve">Chapter 5 — The catch</w:t>
      </w:r>
      <w:r>
        <w:t xml:space="preserve"> </w:t>
      </w:r>
      <w:r>
        <w:t xml:space="preserve">Why you cannot find out whether any of it was done.</w:t>
      </w:r>
    </w:p>
    <w:p>
      <w:pPr>
        <w:pStyle w:val="BodyText"/>
      </w:pPr>
      <w:r>
        <w:rPr>
          <w:b/>
          <w:bCs/>
        </w:rPr>
        <w:t xml:space="preserve">Chapter 6 — What you can check yourself</w:t>
      </w:r>
      <w:r>
        <w:t xml:space="preserve"> </w:t>
      </w:r>
      <w:r>
        <w:t xml:space="preserve">Six checks, twenty minutes, no technical skill.</w:t>
      </w:r>
    </w:p>
    <w:p>
      <w:pPr>
        <w:pStyle w:val="BodyText"/>
      </w:pPr>
      <w:r>
        <w:rPr>
          <w:b/>
          <w:bCs/>
        </w:rPr>
        <w:t xml:space="preserve">Chapter 7 — What to do when it does not work</w:t>
      </w:r>
      <w:r>
        <w:t xml:space="preserve"> </w:t>
      </w:r>
      <w:r>
        <w:t xml:space="preserve">The escalation route, step by step, ending at SCORES.</w:t>
      </w:r>
    </w:p>
    <w:p>
      <w:pPr>
        <w:pStyle w:val="BodyText"/>
      </w:pPr>
      <w:r>
        <w:rPr>
          <w:b/>
          <w:bCs/>
        </w:rPr>
        <w:t xml:space="preserve">Chapter 8 — Six things people get wrong</w:t>
      </w:r>
    </w:p>
    <w:p>
      <w:pPr>
        <w:pStyle w:val="BodyText"/>
      </w:pPr>
      <w:r>
        <w:rPr>
          <w:b/>
          <w:bCs/>
        </w:rPr>
        <w:t xml:space="preserve">Frequently asked questions</w:t>
      </w:r>
    </w:p>
    <w:p>
      <w:pPr>
        <w:pStyle w:val="BodyText"/>
      </w:pPr>
      <w:r>
        <w:rPr>
          <w:b/>
          <w:bCs/>
        </w:rPr>
        <w:t xml:space="preserve">Glossary</w:t>
      </w:r>
    </w:p>
    <w:p>
      <w:pPr>
        <w:pStyle w:val="BodyText"/>
      </w:pPr>
      <w:r>
        <w:rPr>
          <w:b/>
          <w:bCs/>
        </w:rPr>
        <w:t xml:space="preserve">A closing note</w:t>
      </w:r>
    </w:p>
    <w:p>
      <w:r>
        <w:pict>
          <v:rect style="width:0;height:1.5pt" o:hralign="center" o:hrstd="t" o:hr="t"/>
        </w:pict>
      </w:r>
    </w:p>
    <w:bookmarkEnd w:id="10"/>
    <w:bookmarkStart w:id="14" w:name="before-we-begin"/>
    <w:p>
      <w:pPr>
        <w:pStyle w:val="Heading2"/>
      </w:pPr>
      <w:r>
        <w:t xml:space="preserve">Before we begin</w:t>
      </w:r>
    </w:p>
    <w:bookmarkStart w:id="11" w:name="who-this-guide-is-for"/>
    <w:p>
      <w:pPr>
        <w:pStyle w:val="Heading3"/>
      </w:pPr>
      <w:r>
        <w:t xml:space="preserve">Who this guide is for</w:t>
      </w:r>
    </w:p>
    <w:p>
      <w:pPr>
        <w:pStyle w:val="FirstParagraph"/>
      </w:pPr>
      <w:r>
        <w:t xml:space="preserve">You do not need to know anything about computers, software, or securities regulation to read this. You need only to be someone who invests — or would like to — using a phone or a website.</w:t>
      </w:r>
    </w:p>
    <w:p>
      <w:pPr>
        <w:pStyle w:val="BodyText"/>
      </w:pPr>
      <w:r>
        <w:t xml:space="preserve">This guide is for four kinds of reader in particular.</w:t>
      </w:r>
    </w:p>
    <w:p>
      <w:pPr>
        <w:pStyle w:val="BodyText"/>
      </w:pPr>
      <w:r>
        <w:rPr>
          <w:b/>
          <w:bCs/>
        </w:rPr>
        <w:t xml:space="preserve">If you have a disability</w:t>
      </w:r>
      <w:r>
        <w:t xml:space="preserve">, and you have ever given up on a broker’s app because it simply would not work with the tools you use, this guide will tell you that what happened to you is not your fault, is not a personal misfortune, and is in fact a breach of a right you hold. It will show you what to do about it.</w:t>
      </w:r>
    </w:p>
    <w:p>
      <w:pPr>
        <w:pStyle w:val="BodyText"/>
      </w:pPr>
      <w:r>
        <w:rPr>
          <w:b/>
          <w:bCs/>
        </w:rPr>
        <w:t xml:space="preserve">If you help someone who has a disability</w:t>
      </w:r>
      <w:r>
        <w:t xml:space="preserve"> </w:t>
      </w:r>
      <w:r>
        <w:t xml:space="preserve">— a parent, a spouse, a client — this guide will explain why</w:t>
      </w:r>
      <w:r>
        <w:t xml:space="preserve"> </w:t>
      </w:r>
      <w:r>
        <w:t xml:space="preserve">“here, let me just do it for you”</w:t>
      </w:r>
      <w:r>
        <w:t xml:space="preserve"> </w:t>
      </w:r>
      <w:r>
        <w:t xml:space="preserve">is a kindness that quietly costs them something, and what to ask for instead.</w:t>
      </w:r>
    </w:p>
    <w:p>
      <w:pPr>
        <w:pStyle w:val="BodyText"/>
      </w:pPr>
      <w:r>
        <w:rPr>
          <w:b/>
          <w:bCs/>
        </w:rPr>
        <w:t xml:space="preserve">If you work at a broker, a mutual fund, or a depository</w:t>
      </w:r>
      <w:r>
        <w:t xml:space="preserve">, this guide is what your investors are entitled to understand. You may find it useful to know how your obligations look from the other side of the screen.</w:t>
      </w:r>
    </w:p>
    <w:p>
      <w:pPr>
        <w:pStyle w:val="BodyText"/>
      </w:pPr>
      <w:r>
        <w:rPr>
          <w:b/>
          <w:bCs/>
        </w:rPr>
        <w:t xml:space="preserve">And if you are simply an investor</w:t>
      </w:r>
      <w:r>
        <w:t xml:space="preserve"> </w:t>
      </w:r>
      <w:r>
        <w:t xml:space="preserve">with no particular connection to disability, read it anyway. The odds are better than one in six that this will concern you personally, and near-certain that it will concern someone you love. Vision changes with age. So does dexterity. Accessibility is not a fixed category of person; it is a stage of life most of us reach.</w:t>
      </w:r>
    </w:p>
    <w:bookmarkEnd w:id="11"/>
    <w:bookmarkStart w:id="12" w:name="how-to-read-this"/>
    <w:p>
      <w:pPr>
        <w:pStyle w:val="Heading3"/>
      </w:pPr>
      <w:r>
        <w:t xml:space="preserve">How to read this</w:t>
      </w:r>
    </w:p>
    <w:p>
      <w:pPr>
        <w:pStyle w:val="FirstParagraph"/>
      </w:pPr>
      <w:r>
        <w:t xml:space="preserve">The guide teaches from the beginning. It does not assume you know what a screen reader is, what SEBI is, or what a</w:t>
      </w:r>
      <w:r>
        <w:t xml:space="preserve"> </w:t>
      </w:r>
      <w:r>
        <w:t xml:space="preserve">“circular”</w:t>
      </w:r>
      <w:r>
        <w:t xml:space="preserve"> </w:t>
      </w:r>
      <w:r>
        <w:t xml:space="preserve">means. Every term is explained the first time it appears, and again in the glossary at the end.</w:t>
      </w:r>
    </w:p>
    <w:p>
      <w:pPr>
        <w:pStyle w:val="BodyText"/>
      </w:pPr>
      <w:r>
        <w:t xml:space="preserve">There are eight chapters. Each ends with a short summary and a checkpoint — two or three questions you should be able to answer before moving on. If you cannot answer them, the answer is in the chapter you just read, and it is worth going back. Nothing here builds on anything you have not already been given.</w:t>
      </w:r>
    </w:p>
    <w:p>
      <w:pPr>
        <w:pStyle w:val="BodyText"/>
      </w:pPr>
      <w:r>
        <w:t xml:space="preserve">You will meet four people. They are invented, but nothing they encounter is.</w:t>
      </w:r>
    </w:p>
    <w:p>
      <w:pPr>
        <w:pStyle w:val="Compact"/>
        <w:numPr>
          <w:ilvl w:val="0"/>
          <w:numId w:val="1001"/>
        </w:numPr>
      </w:pPr>
      <w:r>
        <w:rPr>
          <w:b/>
          <w:bCs/>
        </w:rPr>
        <w:t xml:space="preserve">Kavya</w:t>
      </w:r>
      <w:r>
        <w:t xml:space="preserve">, 34, a schoolteacher in Bengaluru. She is blind and has been since birth. She uses a screen reader and is, by any measure, an expert computer user.</w:t>
      </w:r>
    </w:p>
    <w:p>
      <w:pPr>
        <w:pStyle w:val="Compact"/>
        <w:numPr>
          <w:ilvl w:val="0"/>
          <w:numId w:val="1001"/>
        </w:numPr>
      </w:pPr>
      <w:r>
        <w:rPr>
          <w:b/>
          <w:bCs/>
        </w:rPr>
        <w:t xml:space="preserve">Arjun</w:t>
      </w:r>
      <w:r>
        <w:t xml:space="preserve">, 22, her nephew. He is studying for a master’s degree, is helpful to a fault, and is about to learn something.</w:t>
      </w:r>
    </w:p>
    <w:p>
      <w:pPr>
        <w:pStyle w:val="Compact"/>
        <w:numPr>
          <w:ilvl w:val="0"/>
          <w:numId w:val="1001"/>
        </w:numPr>
      </w:pPr>
      <w:r>
        <w:rPr>
          <w:b/>
          <w:bCs/>
        </w:rPr>
        <w:t xml:space="preserve">Rohan</w:t>
      </w:r>
      <w:r>
        <w:t xml:space="preserve">, 61, Kavya’s neighbour. He has glaucoma and low vision. He can see, but he magnifies everything to twice its normal size.</w:t>
      </w:r>
    </w:p>
    <w:p>
      <w:pPr>
        <w:pStyle w:val="Compact"/>
        <w:numPr>
          <w:ilvl w:val="0"/>
          <w:numId w:val="1001"/>
        </w:numPr>
      </w:pPr>
      <w:r>
        <w:rPr>
          <w:b/>
          <w:bCs/>
        </w:rPr>
        <w:t xml:space="preserve">Meera</w:t>
      </w:r>
      <w:r>
        <w:t xml:space="preserve">, 41, a compliance officer at a mid-sized brokerage. She is not a villain. She is trying to do her job with the budget she has.</w:t>
      </w:r>
    </w:p>
    <w:bookmarkEnd w:id="12"/>
    <w:bookmarkStart w:id="13" w:name="a-note-on-what-this-guide-is-not"/>
    <w:p>
      <w:pPr>
        <w:pStyle w:val="Heading3"/>
      </w:pPr>
      <w:r>
        <w:t xml:space="preserve">A note on what this guide is not</w:t>
      </w:r>
    </w:p>
    <w:p>
      <w:pPr>
        <w:pStyle w:val="FirstParagraph"/>
      </w:pPr>
      <w:r>
        <w:t xml:space="preserve">This is not legal advice. It is an explanation of published rules, written so that a person without training can understand them and act.</w:t>
      </w:r>
    </w:p>
    <w:p>
      <w:pPr>
        <w:pStyle w:val="BodyText"/>
      </w:pPr>
      <w:r>
        <w:t xml:space="preserve">It also does not tell you which broker is best. It cannot, and the reason it cannot is one of the more important things in this guide — you will meet that problem properly in Chapter 5.</w:t>
      </w:r>
    </w:p>
    <w:p>
      <w:r>
        <w:pict>
          <v:rect style="width:0;height:1.5pt" o:hralign="center" o:hrstd="t" o:hr="t"/>
        </w:pict>
      </w:r>
    </w:p>
    <w:bookmarkEnd w:id="13"/>
    <w:bookmarkEnd w:id="14"/>
    <w:bookmarkEnd w:id="15"/>
    <w:bookmarkStart w:id="21" w:name="chapter-1-a-morning-that-did-not-work"/>
    <w:p>
      <w:pPr>
        <w:pStyle w:val="Heading1"/>
      </w:pPr>
      <w:r>
        <w:t xml:space="preserve">Chapter 1 — A morning that did not work</w:t>
      </w:r>
    </w:p>
    <w:bookmarkStart w:id="16" w:name="the-story"/>
    <w:p>
      <w:pPr>
        <w:pStyle w:val="Heading2"/>
      </w:pPr>
      <w:r>
        <w:t xml:space="preserve">The story</w:t>
      </w:r>
    </w:p>
    <w:p>
      <w:pPr>
        <w:pStyle w:val="FirstParagraph"/>
      </w:pPr>
      <w:r>
        <w:t xml:space="preserve">Kavya has decided to start investing. She is thirty-four, she has a stable salary, and she has read enough to know that a savings account is not a plan. She wants a demat account — the account that holds shares electronically, the way a bank account holds money.</w:t>
      </w:r>
    </w:p>
    <w:p>
      <w:pPr>
        <w:pStyle w:val="BodyText"/>
      </w:pPr>
      <w:r>
        <w:t xml:space="preserve">She picks a well-known broker. The advertisements say the account opens in five minutes.</w:t>
      </w:r>
    </w:p>
    <w:p>
      <w:pPr>
        <w:pStyle w:val="BodyText"/>
      </w:pPr>
      <w:r>
        <w:t xml:space="preserve">She opens the app on her phone. Her screen reader — software that speaks aloud whatever is on the screen — begins to read.</w:t>
      </w:r>
    </w:p>
    <w:p>
      <w:pPr>
        <w:pStyle w:val="BodyText"/>
      </w:pPr>
      <w:r>
        <w:t xml:space="preserve">“Button. Button. Button. Image. Button.”</w:t>
      </w:r>
    </w:p>
    <w:p>
      <w:pPr>
        <w:pStyle w:val="BodyText"/>
      </w:pPr>
      <w:r>
        <w:t xml:space="preserve">Five buttons, and not one of them has a name. Somewhere on that screen, in letters Kavya cannot see, those buttons say things like</w:t>
      </w:r>
      <w:r>
        <w:t xml:space="preserve"> </w:t>
      </w:r>
      <w:r>
        <w:rPr>
          <w:i/>
          <w:iCs/>
        </w:rPr>
        <w:t xml:space="preserve">Open account</w:t>
      </w:r>
      <w:r>
        <w:t xml:space="preserve">,</w:t>
      </w:r>
      <w:r>
        <w:t xml:space="preserve"> </w:t>
      </w:r>
      <w:r>
        <w:rPr>
          <w:i/>
          <w:iCs/>
        </w:rPr>
        <w:t xml:space="preserve">Login</w:t>
      </w:r>
      <w:r>
        <w:t xml:space="preserve">,</w:t>
      </w:r>
      <w:r>
        <w:t xml:space="preserve"> </w:t>
      </w:r>
      <w:r>
        <w:rPr>
          <w:i/>
          <w:iCs/>
        </w:rPr>
        <w:t xml:space="preserve">Explore</w:t>
      </w:r>
      <w:r>
        <w:t xml:space="preserve">. But the person who built the screen never wrote those words down anywhere the screen reader could find them. The words exist only as pictures.</w:t>
      </w:r>
    </w:p>
    <w:p>
      <w:pPr>
        <w:pStyle w:val="BodyText"/>
      </w:pPr>
      <w:r>
        <w:t xml:space="preserve">Kavya taps each button in turn to find out what it does. The third one opens the account form.</w:t>
      </w:r>
    </w:p>
    <w:p>
      <w:pPr>
        <w:pStyle w:val="BodyText"/>
      </w:pPr>
      <w:r>
        <w:t xml:space="preserve">She fills in her name, her PAN, her address. Twenty minutes of careful work. She submits.</w:t>
      </w:r>
    </w:p>
    <w:p>
      <w:pPr>
        <w:pStyle w:val="BodyText"/>
      </w:pPr>
      <w:r>
        <w:t xml:space="preserve">The screen changes. Her screen reader says nothing at all.</w:t>
      </w:r>
    </w:p>
    <w:p>
      <w:pPr>
        <w:pStyle w:val="BodyText"/>
      </w:pPr>
      <w:r>
        <w:t xml:space="preserve">Somewhere on that page, in red text, is a message explaining that her PIN code and her state do not match. Kavya has no way of knowing this. The screen reader did not announce the change, because nobody told the page to announce it. She sits, waiting, for a page that has already given up on her.</w:t>
      </w:r>
    </w:p>
    <w:p>
      <w:pPr>
        <w:pStyle w:val="BodyText"/>
      </w:pPr>
      <w:r>
        <w:t xml:space="preserve">Eventually she guesses that something has gone wrong. She tries again. This time it works, because the form remembered her address from before.</w:t>
      </w:r>
    </w:p>
    <w:p>
      <w:pPr>
        <w:pStyle w:val="BodyText"/>
      </w:pPr>
      <w:r>
        <w:t xml:space="preserve">Now comes video KYC.</w:t>
      </w:r>
    </w:p>
    <w:p>
      <w:pPr>
        <w:pStyle w:val="BodyText"/>
      </w:pPr>
      <w:r>
        <w:rPr>
          <w:b/>
          <w:bCs/>
        </w:rPr>
        <w:t xml:space="preserve">KYC</w:t>
      </w:r>
      <w:r>
        <w:t xml:space="preserve"> </w:t>
      </w:r>
      <w:r>
        <w:t xml:space="preserve">means</w:t>
      </w:r>
      <w:r>
        <w:t xml:space="preserve"> </w:t>
      </w:r>
      <w:r>
        <w:rPr>
          <w:i/>
          <w:iCs/>
        </w:rPr>
        <w:t xml:space="preserve">Know Your Customer</w:t>
      </w:r>
      <w:r>
        <w:t xml:space="preserve"> </w:t>
      </w:r>
      <w:r>
        <w:t xml:space="preserve">— the identity check every financial firm in India must perform before opening your account. Video KYC does it by camera: an automated system looks at your face and confirms you are a real person, present and alive.</w:t>
      </w:r>
    </w:p>
    <w:p>
      <w:pPr>
        <w:pStyle w:val="BodyText"/>
      </w:pPr>
      <w:r>
        <w:t xml:space="preserve">The instruction appears on screen:</w:t>
      </w:r>
      <w:r>
        <w:t xml:space="preserve"> </w:t>
      </w:r>
      <w:r>
        <w:rPr>
          <w:i/>
          <w:iCs/>
        </w:rPr>
        <w:t xml:space="preserve">Please blink twice.</w:t>
      </w:r>
    </w:p>
    <w:p>
      <w:pPr>
        <w:pStyle w:val="BodyText"/>
      </w:pPr>
      <w:r>
        <w:t xml:space="preserve">Kavya cannot see the instruction. Her screen reader does not read it, because it is drawn as part of the video overlay rather than as text. She sits still, looking into a camera, waiting for something to happen. Ninety seconds later the session times out.</w:t>
      </w:r>
    </w:p>
    <w:p>
      <w:pPr>
        <w:pStyle w:val="BodyText"/>
      </w:pPr>
      <w:r>
        <w:t xml:space="preserve">She tries three more times. On the fourth, the system rejects her application.</w:t>
      </w:r>
    </w:p>
    <w:p>
      <w:pPr>
        <w:pStyle w:val="BodyText"/>
      </w:pPr>
      <w:r>
        <w:t xml:space="preserve">She calls the helpline. She waits eleven minutes. The person who answers is polite and completely unequipped. There is no procedure for this. He suggests she visit a branch.</w:t>
      </w:r>
    </w:p>
    <w:bookmarkEnd w:id="16"/>
    <w:bookmarkStart w:id="17" w:name="what-just-happened-and-what-did-not"/>
    <w:p>
      <w:pPr>
        <w:pStyle w:val="Heading2"/>
      </w:pPr>
      <w:r>
        <w:t xml:space="preserve">What just happened, and what did not</w:t>
      </w:r>
    </w:p>
    <w:p>
      <w:pPr>
        <w:pStyle w:val="FirstParagraph"/>
      </w:pPr>
      <w:r>
        <w:t xml:space="preserve">Notice what did</w:t>
      </w:r>
      <w:r>
        <w:t xml:space="preserve"> </w:t>
      </w:r>
      <w:r>
        <w:rPr>
          <w:i/>
          <w:iCs/>
        </w:rPr>
        <w:t xml:space="preserve">not</w:t>
      </w:r>
      <w:r>
        <w:t xml:space="preserve"> </w:t>
      </w:r>
      <w:r>
        <w:t xml:space="preserve">happen in that story.</w:t>
      </w:r>
    </w:p>
    <w:p>
      <w:pPr>
        <w:pStyle w:val="BodyText"/>
      </w:pPr>
      <w:r>
        <w:t xml:space="preserve">Nobody was cruel to Kavya. No one at the broker decided to exclude blind investors. There is no policy anywhere in that company saying people like Kavya are unwelcome. Almost certainly, the developers who built that app would be dismayed to hear this story.</w:t>
      </w:r>
    </w:p>
    <w:p>
      <w:pPr>
        <w:pStyle w:val="BodyText"/>
      </w:pPr>
      <w:r>
        <w:t xml:space="preserve">And yet Kavya cannot open an account, and a sighted person with less financial literacy and less money can do it in five minutes.</w:t>
      </w:r>
    </w:p>
    <w:p>
      <w:pPr>
        <w:pStyle w:val="BodyText"/>
      </w:pPr>
      <w:r>
        <w:t xml:space="preserve">This is the single most important idea in this guide, so it is worth stating plainly:</w:t>
      </w:r>
    </w:p>
    <w:p>
      <w:pPr>
        <w:pStyle w:val="BlockText"/>
      </w:pPr>
      <w:r>
        <w:rPr>
          <w:b/>
          <w:bCs/>
        </w:rPr>
        <w:t xml:space="preserve">Digital exclusion almost never looks like discrimination. It looks like nobody having thought about it.</w:t>
      </w:r>
    </w:p>
    <w:p>
      <w:pPr>
        <w:pStyle w:val="FirstParagraph"/>
      </w:pPr>
      <w:r>
        <w:t xml:space="preserve">That matters, because it changes what the solution is. You do not fix this by finding the villain. You fix it by building a process that catches the problem before it ships — which is precisely what India’s regulator has now told every broker to do.</w:t>
      </w:r>
    </w:p>
    <w:bookmarkEnd w:id="17"/>
    <w:bookmarkStart w:id="18" w:name="what-arjun-did-wrong"/>
    <w:p>
      <w:pPr>
        <w:pStyle w:val="Heading2"/>
      </w:pPr>
      <w:r>
        <w:t xml:space="preserve">What Arjun did wrong</w:t>
      </w:r>
    </w:p>
    <w:p>
      <w:pPr>
        <w:pStyle w:val="FirstParagraph"/>
      </w:pPr>
      <w:r>
        <w:t xml:space="preserve">Kavya told her nephew Arjun about it that evening. Arjun, who is kind, said:</w:t>
      </w:r>
      <w:r>
        <w:t xml:space="preserve"> </w:t>
      </w:r>
      <w:r>
        <w:t xml:space="preserve">“Aunty, just tell me your details, I’ll open it for you in five minutes.”</w:t>
      </w:r>
    </w:p>
    <w:p>
      <w:pPr>
        <w:pStyle w:val="BodyText"/>
      </w:pPr>
      <w:r>
        <w:t xml:space="preserve">Arjun meant well. Consider what his solution actually costs.</w:t>
      </w:r>
    </w:p>
    <w:p>
      <w:pPr>
        <w:pStyle w:val="BodyText"/>
      </w:pPr>
      <w:r>
        <w:t xml:space="preserve">Kavya would have to give her nephew her PAN, her bank details, her income, and eventually her trading password. She would have to ask him every time she wanted to check her holdings, or place an order, or read a contract note. Her financial privacy — from her own family — would end. Her ability to act on a market that moves in seconds would depend on a 22-year-old’s availability between lectures.</w:t>
      </w:r>
    </w:p>
    <w:p>
      <w:pPr>
        <w:pStyle w:val="BodyText"/>
      </w:pPr>
      <w:r>
        <w:t xml:space="preserve">And she would learn, again, that the ordinary world is not built for her and that the price of participating is dependence.</w:t>
      </w:r>
    </w:p>
    <w:p>
      <w:pPr>
        <w:pStyle w:val="BodyText"/>
      </w:pPr>
      <w:r>
        <w:t xml:space="preserve">There is a word for what Kavya wants instead, and it is the word the law uses:</w:t>
      </w:r>
      <w:r>
        <w:t xml:space="preserve"> </w:t>
      </w:r>
      <w:r>
        <w:rPr>
          <w:b/>
          <w:bCs/>
        </w:rPr>
        <w:t xml:space="preserve">independent</w:t>
      </w:r>
      <w:r>
        <w:t xml:space="preserve">. Not assisted. Not accommodated by a helpful relative. Able to do it herself, like anyone else.</w:t>
      </w:r>
    </w:p>
    <w:p>
      <w:pPr>
        <w:pStyle w:val="BodyText"/>
      </w:pPr>
      <w:r>
        <w:t xml:space="preserve">Arjun’s offer was generous. It was also, precisely, the thing the rules now exist to make unnecessary.</w:t>
      </w:r>
    </w:p>
    <w:bookmarkEnd w:id="18"/>
    <w:bookmarkStart w:id="19" w:name="chapter-summary"/>
    <w:p>
      <w:pPr>
        <w:pStyle w:val="Heading2"/>
      </w:pPr>
      <w:r>
        <w:t xml:space="preserve">Chapter summary</w:t>
      </w:r>
    </w:p>
    <w:p>
      <w:pPr>
        <w:pStyle w:val="Compact"/>
        <w:numPr>
          <w:ilvl w:val="0"/>
          <w:numId w:val="1002"/>
        </w:numPr>
      </w:pPr>
      <w:r>
        <w:t xml:space="preserve">Kavya could not open a demat account, not because anyone excluded her deliberately but because nobody had checked whether the app worked with the tools she uses.</w:t>
      </w:r>
    </w:p>
    <w:p>
      <w:pPr>
        <w:pStyle w:val="Compact"/>
        <w:numPr>
          <w:ilvl w:val="0"/>
          <w:numId w:val="1002"/>
        </w:numPr>
      </w:pPr>
      <w:r>
        <w:t xml:space="preserve">Three separate barriers stopped her: buttons with no names, an error message that was never announced, and an identity check that assumed she could see.</w:t>
      </w:r>
    </w:p>
    <w:p>
      <w:pPr>
        <w:pStyle w:val="Compact"/>
        <w:numPr>
          <w:ilvl w:val="0"/>
          <w:numId w:val="1002"/>
        </w:numPr>
      </w:pPr>
      <w:r>
        <w:t xml:space="preserve">Well-meant help from a family member is not a substitute for being able to do it yourself. It costs privacy, speed, and dignity.</w:t>
      </w:r>
    </w:p>
    <w:p>
      <w:pPr>
        <w:pStyle w:val="Compact"/>
        <w:numPr>
          <w:ilvl w:val="0"/>
          <w:numId w:val="1002"/>
        </w:numPr>
      </w:pPr>
      <w:r>
        <w:t xml:space="preserve">The goal named in the rules is</w:t>
      </w:r>
      <w:r>
        <w:t xml:space="preserve"> </w:t>
      </w:r>
      <w:r>
        <w:rPr>
          <w:i/>
          <w:iCs/>
        </w:rPr>
        <w:t xml:space="preserve">independent</w:t>
      </w:r>
      <w:r>
        <w:t xml:space="preserve"> </w:t>
      </w:r>
      <w:r>
        <w:t xml:space="preserve">use.</w:t>
      </w:r>
    </w:p>
    <w:bookmarkEnd w:id="19"/>
    <w:bookmarkStart w:id="20" w:name="checkpoint"/>
    <w:p>
      <w:pPr>
        <w:pStyle w:val="Heading2"/>
      </w:pPr>
      <w:r>
        <w:t xml:space="preserve">Checkpoint</w:t>
      </w:r>
    </w:p>
    <w:p>
      <w:pPr>
        <w:pStyle w:val="FirstParagraph"/>
      </w:pPr>
      <w:r>
        <w:t xml:space="preserve">Before continuing, can you answer these?</w:t>
      </w:r>
    </w:p>
    <w:p>
      <w:pPr>
        <w:pStyle w:val="Compact"/>
        <w:numPr>
          <w:ilvl w:val="0"/>
          <w:numId w:val="1003"/>
        </w:numPr>
      </w:pPr>
      <w:r>
        <w:t xml:space="preserve">Name the three specific barriers Kavya hit.</w:t>
      </w:r>
    </w:p>
    <w:p>
      <w:pPr>
        <w:pStyle w:val="Compact"/>
        <w:numPr>
          <w:ilvl w:val="0"/>
          <w:numId w:val="1003"/>
        </w:numPr>
      </w:pPr>
      <w:r>
        <w:t xml:space="preserve">Why is</w:t>
      </w:r>
      <w:r>
        <w:t xml:space="preserve"> </w:t>
      </w:r>
      <w:r>
        <w:t xml:space="preserve">“a family member can help”</w:t>
      </w:r>
      <w:r>
        <w:t xml:space="preserve"> </w:t>
      </w:r>
      <w:r>
        <w:t xml:space="preserve">not an acceptable answer?</w:t>
      </w:r>
    </w:p>
    <w:p>
      <w:pPr>
        <w:pStyle w:val="Compact"/>
        <w:numPr>
          <w:ilvl w:val="0"/>
          <w:numId w:val="1003"/>
        </w:numPr>
      </w:pPr>
      <w:r>
        <w:t xml:space="preserve">Why does it matter that nobody at the broker intended to exclude her?</w:t>
      </w:r>
    </w:p>
    <w:p>
      <w:r>
        <w:pict>
          <v:rect style="width:0;height:1.5pt" o:hralign="center" o:hrstd="t" o:hr="t"/>
        </w:pict>
      </w:r>
    </w:p>
    <w:bookmarkEnd w:id="20"/>
    <w:bookmarkEnd w:id="21"/>
    <w:bookmarkStart w:id="28" w:name="X0bca71a3d8cd3a626fdce3b490653eb9832df55"/>
    <w:p>
      <w:pPr>
        <w:pStyle w:val="Heading1"/>
      </w:pPr>
      <w:r>
        <w:t xml:space="preserve">Chapter 2 — What</w:t>
      </w:r>
      <w:r>
        <w:t xml:space="preserve"> </w:t>
      </w:r>
      <w:r>
        <w:t xml:space="preserve">“digital accessibility”</w:t>
      </w:r>
      <w:r>
        <w:t xml:space="preserve"> </w:t>
      </w:r>
      <w:r>
        <w:t xml:space="preserve">actually means</w:t>
      </w:r>
    </w:p>
    <w:p>
      <w:pPr>
        <w:pStyle w:val="FirstParagraph"/>
      </w:pPr>
      <w:r>
        <w:t xml:space="preserve">Chapter 1 gave you a story. This chapter gives you the machinery, because you cannot evaluate the rules in Chapter 4 without knowing roughly how a screen works for someone who cannot see it.</w:t>
      </w:r>
    </w:p>
    <w:p>
      <w:pPr>
        <w:pStyle w:val="BodyText"/>
      </w:pPr>
      <w:r>
        <w:t xml:space="preserve">Take your time here. Everything later rests on this.</w:t>
      </w:r>
    </w:p>
    <w:bookmarkStart w:id="22" w:name="how-a-web-page-becomes-speech"/>
    <w:p>
      <w:pPr>
        <w:pStyle w:val="Heading2"/>
      </w:pPr>
      <w:r>
        <w:t xml:space="preserve">How a web page becomes speech</w:t>
      </w:r>
    </w:p>
    <w:p>
      <w:pPr>
        <w:pStyle w:val="FirstParagraph"/>
      </w:pPr>
      <w:r>
        <w:t xml:space="preserve">When you look at your broker’s app, you see a layout: a blue button here, a table of holdings there, a red warning at the top. Your eye takes in the whole arrangement at once and understands it instantly.</w:t>
      </w:r>
    </w:p>
    <w:p>
      <w:pPr>
        <w:pStyle w:val="BodyText"/>
      </w:pPr>
      <w:r>
        <w:t xml:space="preserve">A screen reader cannot do that. It receives the page not as a picture but as a</w:t>
      </w:r>
      <w:r>
        <w:t xml:space="preserve"> </w:t>
      </w:r>
      <w:r>
        <w:rPr>
          <w:b/>
          <w:bCs/>
        </w:rPr>
        <w:t xml:space="preserve">structure</w:t>
      </w:r>
      <w:r>
        <w:t xml:space="preserve"> </w:t>
      </w:r>
      <w:r>
        <w:t xml:space="preserve">— a list of elements, in order, each with a type and a name. It then reads that list aloud, one item at a time, and the user moves through it with keyboard commands.</w:t>
      </w:r>
    </w:p>
    <w:p>
      <w:pPr>
        <w:pStyle w:val="BodyText"/>
      </w:pPr>
      <w:r>
        <w:t xml:space="preserve">Here is the difference, drawn out:</w:t>
      </w:r>
    </w:p>
    <w:p>
      <w:pPr>
        <w:pStyle w:val="SourceCode"/>
      </w:pPr>
      <w:r>
        <w:rPr>
          <w:rStyle w:val="VerbatimChar"/>
        </w:rPr>
        <w:t xml:space="preserve">   WHAT A SIGHTED USER SEES        WHAT A SCREEN READER RECEIVES</w:t>
      </w:r>
      <w:r>
        <w:br/>
      </w:r>
      <w:r>
        <w:rPr>
          <w:rStyle w:val="VerbatimChar"/>
        </w:rPr>
        <w:t xml:space="preserve">   ─────────────────────────       ──────────────────────────────</w:t>
      </w:r>
      <w:r>
        <w:br/>
      </w:r>
      <w:r>
        <w:rPr>
          <w:rStyle w:val="VerbatimChar"/>
        </w:rPr>
        <w:t xml:space="preserve">   ┌───────────────────────┐        heading, level 1: "Your holdings"</w:t>
      </w:r>
      <w:r>
        <w:br/>
      </w:r>
      <w:r>
        <w:rPr>
          <w:rStyle w:val="VerbatimChar"/>
        </w:rPr>
        <w:t xml:space="preserve">   │  Your holdings        │        table, 3 columns, 2 rows</w:t>
      </w:r>
      <w:r>
        <w:br/>
      </w:r>
      <w:r>
        <w:rPr>
          <w:rStyle w:val="VerbatimChar"/>
        </w:rPr>
        <w:t xml:space="preserve">   │  ┌─────┬──────┬─────┐ │          column header: "Stock"</w:t>
      </w:r>
      <w:r>
        <w:br/>
      </w:r>
      <w:r>
        <w:rPr>
          <w:rStyle w:val="VerbatimChar"/>
        </w:rPr>
        <w:t xml:space="preserve">   │  │Stock│Qty   │Value│ │          column header: "Qty"</w:t>
      </w:r>
      <w:r>
        <w:br/>
      </w:r>
      <w:r>
        <w:rPr>
          <w:rStyle w:val="VerbatimChar"/>
        </w:rPr>
        <w:t xml:space="preserve">   │  ├─────┼──────┼─────┤ │          column header: "Value"</w:t>
      </w:r>
      <w:r>
        <w:br/>
      </w:r>
      <w:r>
        <w:rPr>
          <w:rStyle w:val="VerbatimChar"/>
        </w:rPr>
        <w:t xml:space="preserve">   │  │TCS  │ 10   │ ... │ │          row: "TCS", "10", "…"</w:t>
      </w:r>
      <w:r>
        <w:br/>
      </w:r>
      <w:r>
        <w:rPr>
          <w:rStyle w:val="VerbatimChar"/>
        </w:rPr>
        <w:t xml:space="preserve">   │  └─────┴──────┴─────┘ │        button: "Place order"</w:t>
      </w:r>
      <w:r>
        <w:br/>
      </w:r>
      <w:r>
        <w:rPr>
          <w:rStyle w:val="VerbatimChar"/>
        </w:rPr>
        <w:t xml:space="preserve">   │        [ Place order ]│</w:t>
      </w:r>
      <w:r>
        <w:br/>
      </w:r>
      <w:r>
        <w:rPr>
          <w:rStyle w:val="VerbatimChar"/>
        </w:rPr>
        <w:t xml:space="preserve">   └───────────────────────┘</w:t>
      </w:r>
    </w:p>
    <w:p>
      <w:pPr>
        <w:pStyle w:val="FirstParagraph"/>
      </w:pPr>
      <w:r>
        <w:t xml:space="preserve">That right-hand column only exists if the person who built the page</w:t>
      </w:r>
      <w:r>
        <w:t xml:space="preserve"> </w:t>
      </w:r>
      <w:r>
        <w:rPr>
          <w:i/>
          <w:iCs/>
        </w:rPr>
        <w:t xml:space="preserve">provided</w:t>
      </w:r>
      <w:r>
        <w:t xml:space="preserve"> </w:t>
      </w:r>
      <w:r>
        <w:t xml:space="preserve">it. The words</w:t>
      </w:r>
      <w:r>
        <w:t xml:space="preserve"> </w:t>
      </w:r>
      <w:r>
        <w:t xml:space="preserve">“heading”</w:t>
      </w:r>
      <w:r>
        <w:t xml:space="preserve">,</w:t>
      </w:r>
      <w:r>
        <w:t xml:space="preserve"> </w:t>
      </w:r>
      <w:r>
        <w:t xml:space="preserve">“table”</w:t>
      </w:r>
      <w:r>
        <w:t xml:space="preserve">,</w:t>
      </w:r>
      <w:r>
        <w:t xml:space="preserve"> </w:t>
      </w:r>
      <w:r>
        <w:t xml:space="preserve">“column header”</w:t>
      </w:r>
      <w:r>
        <w:t xml:space="preserve">,</w:t>
      </w:r>
      <w:r>
        <w:t xml:space="preserve"> </w:t>
      </w:r>
      <w:r>
        <w:t xml:space="preserve">“button”</w:t>
      </w:r>
      <w:r>
        <w:t xml:space="preserve"> </w:t>
      </w:r>
      <w:r>
        <w:t xml:space="preserve">are not guessed by the software. They are labels the developer must attach, deliberately, in the code.</w:t>
      </w:r>
    </w:p>
    <w:p>
      <w:pPr>
        <w:pStyle w:val="BodyText"/>
      </w:pPr>
      <w:r>
        <w:t xml:space="preserve">When a developer forgets — or uses a picture of a button instead of a real button — the right-hand column becomes what Kavya heard:</w:t>
      </w:r>
    </w:p>
    <w:p>
      <w:pPr>
        <w:pStyle w:val="SourceCode"/>
      </w:pPr>
      <w:r>
        <w:rPr>
          <w:rStyle w:val="VerbatimChar"/>
        </w:rPr>
        <w:t xml:space="preserve">   button</w:t>
      </w:r>
      <w:r>
        <w:br/>
      </w:r>
      <w:r>
        <w:rPr>
          <w:rStyle w:val="VerbatimChar"/>
        </w:rPr>
        <w:t xml:space="preserve">   button</w:t>
      </w:r>
      <w:r>
        <w:br/>
      </w:r>
      <w:r>
        <w:rPr>
          <w:rStyle w:val="VerbatimChar"/>
        </w:rPr>
        <w:t xml:space="preserve">   image</w:t>
      </w:r>
      <w:r>
        <w:br/>
      </w:r>
      <w:r>
        <w:rPr>
          <w:rStyle w:val="VerbatimChar"/>
        </w:rPr>
        <w:t xml:space="preserve">   button</w:t>
      </w:r>
    </w:p>
    <w:p>
      <w:pPr>
        <w:pStyle w:val="FirstParagraph"/>
      </w:pPr>
      <w:r>
        <w:t xml:space="preserve">The page still looks perfect. It simply has no structure underneath, and structure is the only thing a screen reader has.</w:t>
      </w:r>
    </w:p>
    <w:p>
      <w:pPr>
        <w:pStyle w:val="BlockText"/>
      </w:pPr>
      <w:r>
        <w:rPr>
          <w:b/>
          <w:bCs/>
        </w:rPr>
        <w:t xml:space="preserve">The key insight:</w:t>
      </w:r>
      <w:r>
        <w:t xml:space="preserve"> </w:t>
      </w:r>
      <w:r>
        <w:t xml:space="preserve">an accessible page and an inaccessible page can look absolutely identical. You cannot tell them apart by looking. This is why the rules require</w:t>
      </w:r>
      <w:r>
        <w:t xml:space="preserve"> </w:t>
      </w:r>
      <w:r>
        <w:rPr>
          <w:i/>
          <w:iCs/>
        </w:rPr>
        <w:t xml:space="preserve">testing</w:t>
      </w:r>
      <w:r>
        <w:t xml:space="preserve">, not inspection.</w:t>
      </w:r>
    </w:p>
    <w:bookmarkEnd w:id="22"/>
    <w:bookmarkStart w:id="23" w:name="the-four-things-that-must-be-true"/>
    <w:p>
      <w:pPr>
        <w:pStyle w:val="Heading2"/>
      </w:pPr>
      <w:r>
        <w:t xml:space="preserve">The four things that must be true</w:t>
      </w:r>
    </w:p>
    <w:p>
      <w:pPr>
        <w:pStyle w:val="FirstParagraph"/>
      </w:pPr>
      <w:r>
        <w:t xml:space="preserve">There is an international standard for this, and you will meet it by name in Chapter 4. Its whole philosophy comes down to four words. Content must be:</w:t>
      </w:r>
    </w:p>
    <w:p>
      <w:pPr>
        <w:pStyle w:val="BodyText"/>
      </w:pPr>
      <w:r>
        <w:rPr>
          <w:b/>
          <w:bCs/>
        </w:rPr>
        <w:t xml:space="preserve">Perceivable</w:t>
      </w:r>
      <w:r>
        <w:t xml:space="preserve"> </w:t>
      </w:r>
      <w:r>
        <w:t xml:space="preserve">— you can take it in with a sense available to you. Text that can be read aloud. Captions on a video for someone who cannot hear it. Colours that contrast enough for someone with weak vision.</w:t>
      </w:r>
      <w:r>
        <w:t xml:space="preserve"> </w:t>
      </w:r>
      <w:r>
        <w:rPr>
          <w:i/>
          <w:iCs/>
        </w:rPr>
        <w:t xml:space="preserve">If information is conveyed only by colour —</w:t>
      </w:r>
      <w:r>
        <w:rPr>
          <w:i/>
          <w:iCs/>
        </w:rPr>
        <w:t xml:space="preserve"> </w:t>
      </w:r>
      <w:r>
        <w:rPr>
          <w:i/>
          <w:iCs/>
        </w:rPr>
        <w:t xml:space="preserve">“the red rows are losses”</w:t>
      </w:r>
      <w:r>
        <w:rPr>
          <w:i/>
          <w:iCs/>
        </w:rPr>
        <w:t xml:space="preserve"> </w:t>
      </w:r>
      <w:r>
        <w:rPr>
          <w:i/>
          <w:iCs/>
        </w:rPr>
        <w:t xml:space="preserve">— it is not perceivable by someone who cannot distinguish red.</w:t>
      </w:r>
    </w:p>
    <w:p>
      <w:pPr>
        <w:pStyle w:val="BodyText"/>
      </w:pPr>
      <w:r>
        <w:rPr>
          <w:b/>
          <w:bCs/>
        </w:rPr>
        <w:t xml:space="preserve">Operable</w:t>
      </w:r>
      <w:r>
        <w:t xml:space="preserve"> </w:t>
      </w:r>
      <w:r>
        <w:t xml:space="preserve">— you can actually work the controls. Everything reachable with a keyboard alone, for people who cannot use a mouse. Enough time to finish a task before the session expires.</w:t>
      </w:r>
      <w:r>
        <w:t xml:space="preserve"> </w:t>
      </w:r>
      <w:r>
        <w:rPr>
          <w:i/>
          <w:iCs/>
        </w:rPr>
        <w:t xml:space="preserve">Rohan, our neighbour with glaucoma, once lost a half-completed order form because the session timed out while he was magnifying the screen to read it.</w:t>
      </w:r>
    </w:p>
    <w:p>
      <w:pPr>
        <w:pStyle w:val="BodyText"/>
      </w:pPr>
      <w:r>
        <w:rPr>
          <w:b/>
          <w:bCs/>
        </w:rPr>
        <w:t xml:space="preserve">Understandable</w:t>
      </w:r>
      <w:r>
        <w:t xml:space="preserve"> </w:t>
      </w:r>
      <w:r>
        <w:t xml:space="preserve">— it behaves predictably and explains itself. Error messages that say what went wrong and how to fix it. Forms whose fields are labelled. Pages that do not reorganise themselves without warning.</w:t>
      </w:r>
    </w:p>
    <w:p>
      <w:pPr>
        <w:pStyle w:val="BodyText"/>
      </w:pPr>
      <w:r>
        <w:rPr>
          <w:b/>
          <w:bCs/>
        </w:rPr>
        <w:t xml:space="preserve">Robust</w:t>
      </w:r>
      <w:r>
        <w:t xml:space="preserve"> </w:t>
      </w:r>
      <w:r>
        <w:t xml:space="preserve">— it works with the assistive tools people actually use, not only the one browser the developer happened to test on.</w:t>
      </w:r>
    </w:p>
    <w:p>
      <w:pPr>
        <w:pStyle w:val="BodyText"/>
      </w:pPr>
      <w:r>
        <w:t xml:space="preserve">Those four words — Perceivable, Operable, Understandable, Robust — are the backbone of the entire standard. If you remember nothing else technical from this guide, remember them.</w:t>
      </w:r>
    </w:p>
    <w:bookmarkEnd w:id="23"/>
    <w:bookmarkStart w:id="24" w:name="it-is-not-only-blindness"/>
    <w:p>
      <w:pPr>
        <w:pStyle w:val="Heading2"/>
      </w:pPr>
      <w:r>
        <w:t xml:space="preserve">It is not only blindness</w:t>
      </w:r>
    </w:p>
    <w:p>
      <w:pPr>
        <w:pStyle w:val="FirstParagraph"/>
      </w:pPr>
      <w:r>
        <w:t xml:space="preserve">It is easy to picture accessibility as a blind-person issue. It is much wider than that, and the rules cover all of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Who</w:t>
            </w:r>
          </w:p>
        </w:tc>
        <w:tc>
          <w:tcPr/>
          <w:p>
            <w:pPr>
              <w:pStyle w:val="Compact"/>
            </w:pPr>
            <w:r>
              <w:t xml:space="preserve">What blocks them</w:t>
            </w:r>
          </w:p>
        </w:tc>
        <w:tc>
          <w:tcPr/>
          <w:p>
            <w:pPr>
              <w:pStyle w:val="Compact"/>
            </w:pPr>
            <w:r>
              <w:t xml:space="preserve">What helps</w:t>
            </w:r>
          </w:p>
        </w:tc>
      </w:tr>
      <w:tr>
        <w:tc>
          <w:tcPr/>
          <w:p>
            <w:pPr>
              <w:pStyle w:val="Compact"/>
            </w:pPr>
            <w:r>
              <w:t xml:space="preserve">Blind users</w:t>
            </w:r>
          </w:p>
        </w:tc>
        <w:tc>
          <w:tcPr/>
          <w:p>
            <w:pPr>
              <w:pStyle w:val="Compact"/>
            </w:pPr>
            <w:r>
              <w:t xml:space="preserve">Unlabelled buttons; images with no description; unannounced errors</w:t>
            </w:r>
          </w:p>
        </w:tc>
        <w:tc>
          <w:tcPr/>
          <w:p>
            <w:pPr>
              <w:pStyle w:val="Compact"/>
            </w:pPr>
            <w:r>
              <w:t xml:space="preserve">Proper structure and labels</w:t>
            </w:r>
          </w:p>
        </w:tc>
      </w:tr>
      <w:tr>
        <w:tc>
          <w:tcPr/>
          <w:p>
            <w:pPr>
              <w:pStyle w:val="Compact"/>
            </w:pPr>
            <w:r>
              <w:t xml:space="preserve">Low-vision users like Rohan</w:t>
            </w:r>
          </w:p>
        </w:tc>
        <w:tc>
          <w:tcPr/>
          <w:p>
            <w:pPr>
              <w:pStyle w:val="Compact"/>
            </w:pPr>
            <w:r>
              <w:t xml:space="preserve">Text that breaks or disappears when magnified; poor colour contrast</w:t>
            </w:r>
          </w:p>
        </w:tc>
        <w:tc>
          <w:tcPr/>
          <w:p>
            <w:pPr>
              <w:pStyle w:val="Compact"/>
            </w:pPr>
            <w:r>
              <w:t xml:space="preserve">Layouts that reflow when zoomed</w:t>
            </w:r>
          </w:p>
        </w:tc>
      </w:tr>
      <w:tr>
        <w:tc>
          <w:tcPr/>
          <w:p>
            <w:pPr>
              <w:pStyle w:val="Compact"/>
            </w:pPr>
            <w:r>
              <w:t xml:space="preserve">Deaf and hard-of-hearing users</w:t>
            </w:r>
          </w:p>
        </w:tc>
        <w:tc>
          <w:tcPr/>
          <w:p>
            <w:pPr>
              <w:pStyle w:val="Compact"/>
            </w:pPr>
            <w:r>
              <w:t xml:space="preserve">Video explainers with no captions; audio-only OTP</w:t>
            </w:r>
          </w:p>
        </w:tc>
        <w:tc>
          <w:tcPr/>
          <w:p>
            <w:pPr>
              <w:pStyle w:val="Compact"/>
            </w:pPr>
            <w:r>
              <w:t xml:space="preserve">Captions, transcripts, Indian Sign Language</w:t>
            </w:r>
          </w:p>
        </w:tc>
      </w:tr>
      <w:tr>
        <w:tc>
          <w:tcPr/>
          <w:p>
            <w:pPr>
              <w:pStyle w:val="Compact"/>
            </w:pPr>
            <w:r>
              <w:t xml:space="preserve">Users with motor disabilities</w:t>
            </w:r>
          </w:p>
        </w:tc>
        <w:tc>
          <w:tcPr/>
          <w:p>
            <w:pPr>
              <w:pStyle w:val="Compact"/>
            </w:pPr>
            <w:r>
              <w:t xml:space="preserve">Controls that need precise mouse movement; short timeouts</w:t>
            </w:r>
          </w:p>
        </w:tc>
        <w:tc>
          <w:tcPr/>
          <w:p>
            <w:pPr>
              <w:pStyle w:val="Compact"/>
            </w:pPr>
            <w:r>
              <w:t xml:space="preserve">Full keyboard operation; adjustable time limits</w:t>
            </w:r>
          </w:p>
        </w:tc>
      </w:tr>
      <w:tr>
        <w:tc>
          <w:tcPr/>
          <w:p>
            <w:pPr>
              <w:pStyle w:val="Compact"/>
            </w:pPr>
            <w:r>
              <w:t xml:space="preserve">Users with cognitive disabilities</w:t>
            </w:r>
          </w:p>
        </w:tc>
        <w:tc>
          <w:tcPr/>
          <w:p>
            <w:pPr>
              <w:pStyle w:val="Compact"/>
            </w:pPr>
            <w:r>
              <w:t xml:space="preserve">Dense jargon; forms that punish a wrong step; complex error recovery</w:t>
            </w:r>
          </w:p>
        </w:tc>
        <w:tc>
          <w:tcPr/>
          <w:p>
            <w:pPr>
              <w:pStyle w:val="Compact"/>
            </w:pPr>
            <w:r>
              <w:t xml:space="preserve">Plain language; forgiving forms</w:t>
            </w:r>
          </w:p>
        </w:tc>
      </w:tr>
      <w:tr>
        <w:tc>
          <w:tcPr/>
          <w:p>
            <w:pPr>
              <w:pStyle w:val="Compact"/>
            </w:pPr>
            <w:r>
              <w:t xml:space="preserve">Users with tremor, or one arm, or a broken wrist</w:t>
            </w:r>
          </w:p>
        </w:tc>
        <w:tc>
          <w:tcPr/>
          <w:p>
            <w:pPr>
              <w:pStyle w:val="Compact"/>
            </w:pPr>
            <w:r>
              <w:t xml:space="preserve">Small tap targets; drag-and-drop</w:t>
            </w:r>
          </w:p>
        </w:tc>
        <w:tc>
          <w:tcPr/>
          <w:p>
            <w:pPr>
              <w:pStyle w:val="Compact"/>
            </w:pPr>
            <w:r>
              <w:t xml:space="preserve">Large targets; alternatives to dragging</w:t>
            </w:r>
          </w:p>
        </w:tc>
      </w:tr>
    </w:tbl>
    <w:p>
      <w:pPr>
        <w:pStyle w:val="BodyText"/>
      </w:pPr>
      <w:r>
        <w:t xml:space="preserve">That last row is deliberate. Accessibility is not a permanent category of person. It includes the temporary — a broken arm — and the situational: bright sunlight on a train platform is a low-vision condition, and a noisy bus is a hearing one.</w:t>
      </w:r>
    </w:p>
    <w:p>
      <w:pPr>
        <w:pStyle w:val="BodyText"/>
      </w:pPr>
      <w:r>
        <w:t xml:space="preserve">Roughly one in six people worldwide lives with a significant disability, by the World Health Organization’s estimate. In India that is well over a hundred million people. For them, an app like the one Kavya met is not</w:t>
      </w:r>
      <w:r>
        <w:t xml:space="preserve"> </w:t>
      </w:r>
      <w:r>
        <w:rPr>
          <w:i/>
          <w:iCs/>
        </w:rPr>
        <w:t xml:space="preserve">worse</w:t>
      </w:r>
      <w:r>
        <w:t xml:space="preserve">. It is unusable.</w:t>
      </w:r>
    </w:p>
    <w:bookmarkEnd w:id="24"/>
    <w:bookmarkStart w:id="25" w:name="a-word-about-assistive-technology"/>
    <w:p>
      <w:pPr>
        <w:pStyle w:val="Heading2"/>
      </w:pPr>
      <w:r>
        <w:t xml:space="preserve">A word about</w:t>
      </w:r>
      <w:r>
        <w:t xml:space="preserve"> </w:t>
      </w:r>
      <w:r>
        <w:t xml:space="preserve">“assistive technology”</w:t>
      </w:r>
    </w:p>
    <w:p>
      <w:pPr>
        <w:pStyle w:val="FirstParagraph"/>
      </w:pPr>
      <w:r>
        <w:t xml:space="preserve">You will see this phrase, often shortened to</w:t>
      </w:r>
      <w:r>
        <w:t xml:space="preserve"> </w:t>
      </w:r>
      <w:r>
        <w:rPr>
          <w:b/>
          <w:bCs/>
        </w:rPr>
        <w:t xml:space="preserve">AT</w:t>
      </w:r>
      <w:r>
        <w:t xml:space="preserve">. It simply means the tools people use to operate a computer when the standard way does not work:</w:t>
      </w:r>
    </w:p>
    <w:p>
      <w:pPr>
        <w:pStyle w:val="Compact"/>
        <w:numPr>
          <w:ilvl w:val="0"/>
          <w:numId w:val="1004"/>
        </w:numPr>
      </w:pPr>
      <w:r>
        <w:rPr>
          <w:b/>
          <w:bCs/>
        </w:rPr>
        <w:t xml:space="preserve">Screen readers</w:t>
      </w:r>
      <w:r>
        <w:t xml:space="preserve"> </w:t>
      </w:r>
      <w:r>
        <w:t xml:space="preserve">speak the screen aloud. The common ones are NVDA and JAWS on Windows, VoiceOver on Apple devices, and TalkBack on Android.</w:t>
      </w:r>
    </w:p>
    <w:p>
      <w:pPr>
        <w:pStyle w:val="Compact"/>
        <w:numPr>
          <w:ilvl w:val="0"/>
          <w:numId w:val="1004"/>
        </w:numPr>
      </w:pPr>
      <w:r>
        <w:rPr>
          <w:b/>
          <w:bCs/>
        </w:rPr>
        <w:t xml:space="preserve">Screen magnifiers</w:t>
      </w:r>
      <w:r>
        <w:t xml:space="preserve"> </w:t>
      </w:r>
      <w:r>
        <w:t xml:space="preserve">enlarge part of the display.</w:t>
      </w:r>
    </w:p>
    <w:p>
      <w:pPr>
        <w:pStyle w:val="Compact"/>
        <w:numPr>
          <w:ilvl w:val="0"/>
          <w:numId w:val="1004"/>
        </w:numPr>
      </w:pPr>
      <w:r>
        <w:rPr>
          <w:b/>
          <w:bCs/>
        </w:rPr>
        <w:t xml:space="preserve">Switch devices</w:t>
      </w:r>
      <w:r>
        <w:t xml:space="preserve"> </w:t>
      </w:r>
      <w:r>
        <w:t xml:space="preserve">let someone operate a computer with a single button, a puff of breath, or a head movement.</w:t>
      </w:r>
    </w:p>
    <w:p>
      <w:pPr>
        <w:pStyle w:val="Compact"/>
        <w:numPr>
          <w:ilvl w:val="0"/>
          <w:numId w:val="1004"/>
        </w:numPr>
      </w:pPr>
      <w:r>
        <w:rPr>
          <w:b/>
          <w:bCs/>
        </w:rPr>
        <w:t xml:space="preserve">Voice control</w:t>
      </w:r>
      <w:r>
        <w:t xml:space="preserve"> </w:t>
      </w:r>
      <w:r>
        <w:t xml:space="preserve">operates a device by speech.</w:t>
      </w:r>
    </w:p>
    <w:p>
      <w:pPr>
        <w:pStyle w:val="FirstParagraph"/>
      </w:pPr>
      <w:r>
        <w:t xml:space="preserve">None of these can invent information that is not there. A screen reader cannot tell you what an unlabelled button does, any more than you could read a book with the words removed.</w:t>
      </w:r>
    </w:p>
    <w:bookmarkEnd w:id="25"/>
    <w:bookmarkStart w:id="26" w:name="chapter-summary-1"/>
    <w:p>
      <w:pPr>
        <w:pStyle w:val="Heading2"/>
      </w:pPr>
      <w:r>
        <w:t xml:space="preserve">Chapter summary</w:t>
      </w:r>
    </w:p>
    <w:p>
      <w:pPr>
        <w:pStyle w:val="Compact"/>
        <w:numPr>
          <w:ilvl w:val="0"/>
          <w:numId w:val="1005"/>
        </w:numPr>
      </w:pPr>
      <w:r>
        <w:t xml:space="preserve">A screen reader does not see a page; it receives a structure of labelled elements, and reads it aloud in order.</w:t>
      </w:r>
    </w:p>
    <w:p>
      <w:pPr>
        <w:pStyle w:val="Compact"/>
        <w:numPr>
          <w:ilvl w:val="0"/>
          <w:numId w:val="1005"/>
        </w:numPr>
      </w:pPr>
      <w:r>
        <w:t xml:space="preserve">That structure exists only if a developer deliberately provided it. An accessible page and an inaccessible one look identical.</w:t>
      </w:r>
    </w:p>
    <w:p>
      <w:pPr>
        <w:pStyle w:val="Compact"/>
        <w:numPr>
          <w:ilvl w:val="0"/>
          <w:numId w:val="1005"/>
        </w:numPr>
      </w:pPr>
      <w:r>
        <w:t xml:space="preserve">The standard rests on four properties: Perceivable, Operable, Understandable, Robust.</w:t>
      </w:r>
    </w:p>
    <w:p>
      <w:pPr>
        <w:pStyle w:val="Compact"/>
        <w:numPr>
          <w:ilvl w:val="0"/>
          <w:numId w:val="1005"/>
        </w:numPr>
      </w:pPr>
      <w:r>
        <w:t xml:space="preserve">Accessibility covers vision, hearing, movement, and cognition — and temporary and situational limits too.</w:t>
      </w:r>
    </w:p>
    <w:p>
      <w:pPr>
        <w:pStyle w:val="Compact"/>
        <w:numPr>
          <w:ilvl w:val="0"/>
          <w:numId w:val="1005"/>
        </w:numPr>
      </w:pPr>
      <w:r>
        <w:t xml:space="preserve">Assistive technology can only work with information that is actually present.</w:t>
      </w:r>
    </w:p>
    <w:bookmarkEnd w:id="26"/>
    <w:bookmarkStart w:id="27" w:name="checkpoint-1"/>
    <w:p>
      <w:pPr>
        <w:pStyle w:val="Heading2"/>
      </w:pPr>
      <w:r>
        <w:t xml:space="preserve">Checkpoint</w:t>
      </w:r>
    </w:p>
    <w:p>
      <w:pPr>
        <w:pStyle w:val="Compact"/>
        <w:numPr>
          <w:ilvl w:val="0"/>
          <w:numId w:val="1006"/>
        </w:numPr>
      </w:pPr>
      <w:r>
        <w:t xml:space="preserve">Why can you not tell by looking whether a page is accessible?</w:t>
      </w:r>
    </w:p>
    <w:p>
      <w:pPr>
        <w:pStyle w:val="Compact"/>
        <w:numPr>
          <w:ilvl w:val="0"/>
          <w:numId w:val="1006"/>
        </w:numPr>
      </w:pPr>
      <w:r>
        <w:t xml:space="preserve">What do the four words P, O, U, R stand for, and give one example of each failing.</w:t>
      </w:r>
    </w:p>
    <w:p>
      <w:pPr>
        <w:pStyle w:val="Compact"/>
        <w:numPr>
          <w:ilvl w:val="0"/>
          <w:numId w:val="1006"/>
        </w:numPr>
      </w:pPr>
      <w:r>
        <w:t xml:space="preserve">Why is</w:t>
      </w:r>
      <w:r>
        <w:t xml:space="preserve"> </w:t>
      </w:r>
      <w:r>
        <w:t xml:space="preserve">“the losses are shown in red”</w:t>
      </w:r>
      <w:r>
        <w:t xml:space="preserve"> </w:t>
      </w:r>
      <w:r>
        <w:t xml:space="preserve">a problem?</w:t>
      </w:r>
    </w:p>
    <w:p>
      <w:r>
        <w:pict>
          <v:rect style="width:0;height:1.5pt" o:hralign="center" o:hrstd="t" o:hr="t"/>
        </w:pict>
      </w:r>
    </w:p>
    <w:bookmarkEnd w:id="27"/>
    <w:bookmarkEnd w:id="28"/>
    <w:bookmarkStart w:id="35" w:name="chapter-3-where-your-right-comes-from"/>
    <w:p>
      <w:pPr>
        <w:pStyle w:val="Heading1"/>
      </w:pPr>
      <w:r>
        <w:t xml:space="preserve">Chapter 3 — Where your right comes from</w:t>
      </w:r>
    </w:p>
    <w:p>
      <w:pPr>
        <w:pStyle w:val="FirstParagraph"/>
      </w:pPr>
      <w:r>
        <w:t xml:space="preserve">Now that you know what the problem is, here is why it is not merely unfortunate but unlawful.</w:t>
      </w:r>
    </w:p>
    <w:p>
      <w:pPr>
        <w:pStyle w:val="BodyText"/>
      </w:pPr>
      <w:r>
        <w:t xml:space="preserve">The right has three layers, each built on the one before.</w:t>
      </w:r>
    </w:p>
    <w:p>
      <w:pPr>
        <w:pStyle w:val="SourceCode"/>
      </w:pPr>
      <w:r>
        <w:rPr>
          <w:rStyle w:val="VerbatimChar"/>
        </w:rPr>
        <w:t xml:space="preserve">   LAYER 3   SEBI's circulars (2025-2026)</w:t>
      </w:r>
      <w:r>
        <w:br/>
      </w:r>
      <w:r>
        <w:rPr>
          <w:rStyle w:val="VerbatimChar"/>
        </w:rPr>
        <w:t xml:space="preserve">             "Here is exactly what brokers must do, and by when."</w:t>
      </w:r>
      <w:r>
        <w:br/>
      </w:r>
      <w:r>
        <w:rPr>
          <w:rStyle w:val="VerbatimChar"/>
        </w:rPr>
        <w:t xml:space="preserve">                          ▲</w:t>
      </w:r>
      <w:r>
        <w:br/>
      </w:r>
      <w:r>
        <w:rPr>
          <w:rStyle w:val="VerbatimChar"/>
        </w:rPr>
        <w:t xml:space="preserve">   LAYER 2   Supreme Court judgment (30 April 2025)</w:t>
      </w:r>
      <w:r>
        <w:br/>
      </w:r>
      <w:r>
        <w:rPr>
          <w:rStyle w:val="VerbatimChar"/>
        </w:rPr>
        <w:t xml:space="preserve">             "Digital access is part of the right to life."</w:t>
      </w:r>
      <w:r>
        <w:br/>
      </w:r>
      <w:r>
        <w:rPr>
          <w:rStyle w:val="VerbatimChar"/>
        </w:rPr>
        <w:t xml:space="preserve">                          ▲</w:t>
      </w:r>
      <w:r>
        <w:br/>
      </w:r>
      <w:r>
        <w:rPr>
          <w:rStyle w:val="VerbatimChar"/>
        </w:rPr>
        <w:t xml:space="preserve">   LAYER 1   Rights of Persons with Disabilities Act, 2016</w:t>
      </w:r>
      <w:r>
        <w:br/>
      </w:r>
      <w:r>
        <w:rPr>
          <w:rStyle w:val="VerbatimChar"/>
        </w:rPr>
        <w:t xml:space="preserve">             "Service providers must not exclude disabled people."</w:t>
      </w:r>
    </w:p>
    <w:bookmarkStart w:id="29" w:name="layer-1-the-rpwd-act-2016"/>
    <w:p>
      <w:pPr>
        <w:pStyle w:val="Heading2"/>
      </w:pPr>
      <w:r>
        <w:t xml:space="preserve">Layer 1 — The RPwD Act, 2016</w:t>
      </w:r>
    </w:p>
    <w:p>
      <w:pPr>
        <w:pStyle w:val="FirstParagraph"/>
      </w:pPr>
      <w:r>
        <w:t xml:space="preserve">The</w:t>
      </w:r>
      <w:r>
        <w:t xml:space="preserve"> </w:t>
      </w:r>
      <w:r>
        <w:rPr>
          <w:b/>
          <w:bCs/>
        </w:rPr>
        <w:t xml:space="preserve">Rights of Persons with Disabilities Act, 2016</w:t>
      </w:r>
      <w:r>
        <w:t xml:space="preserve"> </w:t>
      </w:r>
      <w:r>
        <w:t xml:space="preserve">is India’s principal disability law. It replaced a much weaker 1995 statute and brought Indian law into line with the United Nations Convention on the Rights of Persons with Disabilities.</w:t>
      </w:r>
    </w:p>
    <w:p>
      <w:pPr>
        <w:pStyle w:val="BodyText"/>
      </w:pPr>
      <w:r>
        <w:t xml:space="preserve">Three of its sections matter here.</w:t>
      </w:r>
    </w:p>
    <w:p>
      <w:pPr>
        <w:pStyle w:val="BodyText"/>
      </w:pPr>
      <w:r>
        <w:rPr>
          <w:b/>
          <w:bCs/>
        </w:rPr>
        <w:t xml:space="preserve">Section 40</w:t>
      </w:r>
      <w:r>
        <w:t xml:space="preserve"> </w:t>
      </w:r>
      <w:r>
        <w:t xml:space="preserve">provides for standards of accessibility — the government may prescribe what accessible means, in concrete terms, for services and facilities.</w:t>
      </w:r>
    </w:p>
    <w:p>
      <w:pPr>
        <w:pStyle w:val="BodyText"/>
      </w:pPr>
      <w:r>
        <w:rPr>
          <w:b/>
          <w:bCs/>
        </w:rPr>
        <w:t xml:space="preserve">Section 42</w:t>
      </w:r>
      <w:r>
        <w:t xml:space="preserve"> </w:t>
      </w:r>
      <w:r>
        <w:t xml:space="preserve">concerns access to information and communication technology. It requires that electronic media and content be made accessible to persons with disabilities.</w:t>
      </w:r>
    </w:p>
    <w:p>
      <w:pPr>
        <w:pStyle w:val="BodyText"/>
      </w:pPr>
      <w:r>
        <w:rPr>
          <w:b/>
          <w:bCs/>
        </w:rPr>
        <w:t xml:space="preserve">Section 46</w:t>
      </w:r>
      <w:r>
        <w:t xml:space="preserve"> </w:t>
      </w:r>
      <w:r>
        <w:t xml:space="preserve">sets time limits: service providers must make their services accessible within a defined period. It is, in other words, an anti-procrastination clause.</w:t>
      </w:r>
    </w:p>
    <w:p>
      <w:pPr>
        <w:pStyle w:val="BodyText"/>
      </w:pPr>
      <w:r>
        <w:t xml:space="preserve">The Act is broad. It states principles rather than technical specifications. That breadth is a strength in law and a weakness in practice, because a company can agree wholeheartedly with the principle and still have no idea what to build.</w:t>
      </w:r>
    </w:p>
    <w:bookmarkEnd w:id="29"/>
    <w:bookmarkStart w:id="30" w:name="layer-2-the-supreme-court-30-april-2025"/>
    <w:p>
      <w:pPr>
        <w:pStyle w:val="Heading2"/>
      </w:pPr>
      <w:r>
        <w:t xml:space="preserve">Layer 2 — The Supreme Court, 30 April 2025</w:t>
      </w:r>
    </w:p>
    <w:p>
      <w:pPr>
        <w:pStyle w:val="FirstParagraph"/>
      </w:pPr>
      <w:r>
        <w:t xml:space="preserve">On 30 April 2025 the Supreme Court of India decided two petitions together:</w:t>
      </w:r>
      <w:r>
        <w:t xml:space="preserve"> </w:t>
      </w:r>
      <w:r>
        <w:rPr>
          <w:b/>
          <w:bCs/>
          <w:i/>
          <w:iCs/>
        </w:rPr>
        <w:t xml:space="preserve">Pragya Prasun v. Union of India</w:t>
      </w:r>
      <w:r>
        <w:t xml:space="preserve"> </w:t>
      </w:r>
      <w:r>
        <w:t xml:space="preserve">and</w:t>
      </w:r>
      <w:r>
        <w:t xml:space="preserve"> </w:t>
      </w:r>
      <w:r>
        <w:rPr>
          <w:b/>
          <w:bCs/>
          <w:i/>
          <w:iCs/>
        </w:rPr>
        <w:t xml:space="preserve">Amar Jain v. Union of India</w:t>
      </w:r>
      <w:r>
        <w:t xml:space="preserve">.</w:t>
      </w:r>
    </w:p>
    <w:p>
      <w:pPr>
        <w:pStyle w:val="BodyText"/>
      </w:pPr>
      <w:r>
        <w:t xml:space="preserve">The petitioners included acid-attack survivors with facial and eye injuries, and blind petitioners. Their complaint was specific and, once you have read Chapter 1, entirely familiar: digital KYC processes — the blink test, the</w:t>
      </w:r>
      <w:r>
        <w:t xml:space="preserve"> </w:t>
      </w:r>
      <w:r>
        <w:t xml:space="preserve">“look at the camera and follow the moving dot”</w:t>
      </w:r>
      <w:r>
        <w:t xml:space="preserve"> </w:t>
      </w:r>
      <w:r>
        <w:t xml:space="preserve">test — were impossible for them, and the impossibility locked them out of ordinary financial life. Bank accounts. Mobile connections. Investment accounts.</w:t>
      </w:r>
    </w:p>
    <w:p>
      <w:pPr>
        <w:pStyle w:val="BodyText"/>
      </w:pPr>
      <w:r>
        <w:t xml:space="preserve">The Court’s holding went further than the petition. It held that</w:t>
      </w:r>
      <w:r>
        <w:t xml:space="preserve"> </w:t>
      </w:r>
      <w:r>
        <w:rPr>
          <w:b/>
          <w:bCs/>
        </w:rPr>
        <w:t xml:space="preserve">the right to digital access is an intrinsic component of the right to life and personal liberty under Article 21 of the Constitution.</w:t>
      </w:r>
    </w:p>
    <w:p>
      <w:pPr>
        <w:pStyle w:val="BodyText"/>
      </w:pPr>
      <w:r>
        <w:t xml:space="preserve">That sentence deserves unpacking, because it is doing a great deal of work.</w:t>
      </w:r>
    </w:p>
    <w:p>
      <w:pPr>
        <w:pStyle w:val="BodyText"/>
      </w:pPr>
      <w:r>
        <w:t xml:space="preserve">Article 21 is one of the fundamental rights. It reads, in essence, that no person shall be deprived of life or personal liberty except by procedure established by law. Indian courts have interpreted</w:t>
      </w:r>
      <w:r>
        <w:t xml:space="preserve"> </w:t>
      </w:r>
      <w:r>
        <w:t xml:space="preserve">“life”</w:t>
      </w:r>
      <w:r>
        <w:t xml:space="preserve"> </w:t>
      </w:r>
      <w:r>
        <w:t xml:space="preserve">expansively for decades — it has been held to include the right to livelihood, to health, to a clean environment, to privacy.</w:t>
      </w:r>
    </w:p>
    <w:p>
      <w:pPr>
        <w:pStyle w:val="BodyText"/>
      </w:pPr>
      <w:r>
        <w:t xml:space="preserve">By placing digital access inside Article 21, the Court moved it out of the category of</w:t>
      </w:r>
      <w:r>
        <w:t xml:space="preserve"> </w:t>
      </w:r>
      <w:r>
        <w:rPr>
          <w:i/>
          <w:iCs/>
        </w:rPr>
        <w:t xml:space="preserve">good policy</w:t>
      </w:r>
      <w:r>
        <w:t xml:space="preserve"> </w:t>
      </w:r>
      <w:r>
        <w:t xml:space="preserve">and into the category of</w:t>
      </w:r>
      <w:r>
        <w:t xml:space="preserve"> </w:t>
      </w:r>
      <w:r>
        <w:rPr>
          <w:i/>
          <w:iCs/>
        </w:rPr>
        <w:t xml:space="preserve">constitutional entitlement</w:t>
      </w:r>
      <w:r>
        <w:t xml:space="preserve">. A fundamental right is not something a company may weigh against its development budget.</w:t>
      </w:r>
    </w:p>
    <w:p>
      <w:pPr>
        <w:pStyle w:val="BodyText"/>
      </w:pPr>
      <w:r>
        <w:t xml:space="preserve">Three weeks later, SEBI began to act.</w:t>
      </w:r>
    </w:p>
    <w:bookmarkEnd w:id="30"/>
    <w:bookmarkStart w:id="31" w:name="layer-3-sebi"/>
    <w:p>
      <w:pPr>
        <w:pStyle w:val="Heading2"/>
      </w:pPr>
      <w:r>
        <w:t xml:space="preserve">Layer 3 — SEBI</w:t>
      </w:r>
    </w:p>
    <w:p>
      <w:pPr>
        <w:pStyle w:val="FirstParagraph"/>
      </w:pPr>
      <w:r>
        <w:rPr>
          <w:b/>
          <w:bCs/>
        </w:rPr>
        <w:t xml:space="preserve">SEBI</w:t>
      </w:r>
      <w:r>
        <w:t xml:space="preserve"> </w:t>
      </w:r>
      <w:r>
        <w:t xml:space="preserve">is the Securities and Exchange Board of India: the regulator of India’s securities markets. If you have a demat account, a mutual fund, or a broker, SEBI regulates them. It has statutory power to issue binding instructions, which it does through documents called</w:t>
      </w:r>
      <w:r>
        <w:t xml:space="preserve"> </w:t>
      </w:r>
      <w:r>
        <w:rPr>
          <w:b/>
          <w:bCs/>
        </w:rPr>
        <w:t xml:space="preserve">circulars</w:t>
      </w:r>
      <w:r>
        <w:t xml:space="preserve">.</w:t>
      </w:r>
    </w:p>
    <w:p>
      <w:pPr>
        <w:pStyle w:val="BodyText"/>
      </w:pPr>
      <w:r>
        <w:t xml:space="preserve">A circular is not a suggestion. It is issued under Section 11(1) of the SEBI Act, 1992, and the entities it addresses must comply.</w:t>
      </w:r>
    </w:p>
    <w:p>
      <w:pPr>
        <w:pStyle w:val="BodyText"/>
      </w:pPr>
      <w:r>
        <w:t xml:space="preserve">The term you will see throughout is</w:t>
      </w:r>
      <w:r>
        <w:t xml:space="preserve"> </w:t>
      </w:r>
      <w:r>
        <w:rPr>
          <w:b/>
          <w:bCs/>
        </w:rPr>
        <w:t xml:space="preserve">Regulated Entity</w:t>
      </w:r>
      <w:r>
        <w:t xml:space="preserve">, usually shortened to</w:t>
      </w:r>
      <w:r>
        <w:t xml:space="preserve"> </w:t>
      </w:r>
      <w:r>
        <w:rPr>
          <w:b/>
          <w:bCs/>
        </w:rPr>
        <w:t xml:space="preserve">RE</w:t>
      </w:r>
      <w:r>
        <w:t xml:space="preserve">. It means any firm SEBI registers or recognises: stockbrokers, depositories and depository participants, mutual funds and asset management companies, portfolio managers, investment advisers, research analysts, registrars and transfer agents, credit rating agencies, merchant bankers — and the market infrastructure institutions themselves, which is to say the stock exchanges, the clearing corporations and the depositories.</w:t>
      </w:r>
    </w:p>
    <w:p>
      <w:pPr>
        <w:pStyle w:val="BodyText"/>
      </w:pPr>
      <w:r>
        <w:t xml:space="preserve">If a firm sits between you and the securities market, it is almost certainly a Regulated Entity, and everything in Chapter 4 applies to it.</w:t>
      </w:r>
    </w:p>
    <w:bookmarkEnd w:id="31"/>
    <w:bookmarkStart w:id="32" w:name="why-this-order-matters"/>
    <w:p>
      <w:pPr>
        <w:pStyle w:val="Heading2"/>
      </w:pPr>
      <w:r>
        <w:t xml:space="preserve">Why this order matters</w:t>
      </w:r>
    </w:p>
    <w:p>
      <w:pPr>
        <w:pStyle w:val="FirstParagraph"/>
      </w:pPr>
      <w:r>
        <w:t xml:space="preserve">Read the layers from the bottom and the logic is clean.</w:t>
      </w:r>
    </w:p>
    <w:p>
      <w:pPr>
        <w:pStyle w:val="BodyText"/>
      </w:pPr>
      <w:r>
        <w:t xml:space="preserve">Parliament established the principle in 2016. The Supreme Court made it constitutional in 2025, and pointed directly at digital identity checks as the failure. SEBI translated it into instructions with dates attached.</w:t>
      </w:r>
    </w:p>
    <w:p>
      <w:pPr>
        <w:pStyle w:val="BodyText"/>
      </w:pPr>
      <w:r>
        <w:t xml:space="preserve">Kavya’s failed morning is not a customer-service problem that a nicer helpline would solve. It is, on the Supreme Court’s reasoning, a constitutional matter.</w:t>
      </w:r>
    </w:p>
    <w:bookmarkEnd w:id="32"/>
    <w:bookmarkStart w:id="33" w:name="chapter-summary-2"/>
    <w:p>
      <w:pPr>
        <w:pStyle w:val="Heading2"/>
      </w:pPr>
      <w:r>
        <w:t xml:space="preserve">Chapter summary</w:t>
      </w:r>
    </w:p>
    <w:p>
      <w:pPr>
        <w:pStyle w:val="Compact"/>
        <w:numPr>
          <w:ilvl w:val="0"/>
          <w:numId w:val="1007"/>
        </w:numPr>
      </w:pPr>
      <w:r>
        <w:t xml:space="preserve">The RPwD Act 2016 (sections 40, 42, 46) requires service providers not to exclude disabled people and sets time limits.</w:t>
      </w:r>
    </w:p>
    <w:p>
      <w:pPr>
        <w:pStyle w:val="Compact"/>
        <w:numPr>
          <w:ilvl w:val="0"/>
          <w:numId w:val="1007"/>
        </w:numPr>
      </w:pPr>
      <w:r>
        <w:t xml:space="preserve">On 30 April 2025 the Supreme Court, in</w:t>
      </w:r>
      <w:r>
        <w:t xml:space="preserve"> </w:t>
      </w:r>
      <w:r>
        <w:rPr>
          <w:i/>
          <w:iCs/>
        </w:rPr>
        <w:t xml:space="preserve">Pragya Prasun</w:t>
      </w:r>
      <w:r>
        <w:t xml:space="preserve"> </w:t>
      </w:r>
      <w:r>
        <w:t xml:space="preserve">and</w:t>
      </w:r>
      <w:r>
        <w:t xml:space="preserve"> </w:t>
      </w:r>
      <w:r>
        <w:rPr>
          <w:i/>
          <w:iCs/>
        </w:rPr>
        <w:t xml:space="preserve">Amar Jain</w:t>
      </w:r>
      <w:r>
        <w:t xml:space="preserve">, held digital access to be part of the Article 21 right to life — triggered by exactly the KYC failures described in Chapter 1.</w:t>
      </w:r>
    </w:p>
    <w:p>
      <w:pPr>
        <w:pStyle w:val="Compact"/>
        <w:numPr>
          <w:ilvl w:val="0"/>
          <w:numId w:val="1007"/>
        </w:numPr>
      </w:pPr>
      <w:r>
        <w:t xml:space="preserve">SEBI regulates everyone between you and the market, and issues binding circulars under the SEBI Act 1992.</w:t>
      </w:r>
    </w:p>
    <w:p>
      <w:pPr>
        <w:pStyle w:val="Compact"/>
        <w:numPr>
          <w:ilvl w:val="0"/>
          <w:numId w:val="1007"/>
        </w:numPr>
      </w:pPr>
      <w:r>
        <w:t xml:space="preserve">“Regulated Entity”</w:t>
      </w:r>
      <w:r>
        <w:t xml:space="preserve"> </w:t>
      </w:r>
      <w:r>
        <w:t xml:space="preserve">(RE) covers brokers, funds, depositories, advisers, registrars and exchanges.</w:t>
      </w:r>
    </w:p>
    <w:bookmarkEnd w:id="33"/>
    <w:bookmarkStart w:id="34" w:name="checkpoint-2"/>
    <w:p>
      <w:pPr>
        <w:pStyle w:val="Heading2"/>
      </w:pPr>
      <w:r>
        <w:t xml:space="preserve">Checkpoint</w:t>
      </w:r>
    </w:p>
    <w:p>
      <w:pPr>
        <w:pStyle w:val="Compact"/>
        <w:numPr>
          <w:ilvl w:val="0"/>
          <w:numId w:val="1008"/>
        </w:numPr>
      </w:pPr>
      <w:r>
        <w:t xml:space="preserve">What did the Supreme Court actually hold on 30 April 2025, and why does Article 21 matter?</w:t>
      </w:r>
    </w:p>
    <w:p>
      <w:pPr>
        <w:pStyle w:val="Compact"/>
        <w:numPr>
          <w:ilvl w:val="0"/>
          <w:numId w:val="1008"/>
        </w:numPr>
      </w:pPr>
      <w:r>
        <w:t xml:space="preserve">What is a</w:t>
      </w:r>
      <w:r>
        <w:t xml:space="preserve"> </w:t>
      </w:r>
      <w:r>
        <w:t xml:space="preserve">“Regulated Entity”</w:t>
      </w:r>
      <w:r>
        <w:t xml:space="preserve">? Is your broker one?</w:t>
      </w:r>
    </w:p>
    <w:p>
      <w:pPr>
        <w:pStyle w:val="Compact"/>
        <w:numPr>
          <w:ilvl w:val="0"/>
          <w:numId w:val="1008"/>
        </w:numPr>
      </w:pPr>
      <w:r>
        <w:t xml:space="preserve">What was the specific technology the petitioners could not use?</w:t>
      </w:r>
    </w:p>
    <w:p>
      <w:r>
        <w:pict>
          <v:rect style="width:0;height:1.5pt" o:hralign="center" o:hrstd="t" o:hr="t"/>
        </w:pict>
      </w:r>
    </w:p>
    <w:bookmarkEnd w:id="34"/>
    <w:bookmarkEnd w:id="35"/>
    <w:bookmarkStart w:id="44" w:name="X66a80b5fb3831ec35ea66c11cdd55a627741857"/>
    <w:p>
      <w:pPr>
        <w:pStyle w:val="Heading1"/>
      </w:pPr>
      <w:r>
        <w:t xml:space="preserve">Chapter 4 — What SEBI told your broker to do</w:t>
      </w:r>
    </w:p>
    <w:p>
      <w:pPr>
        <w:pStyle w:val="FirstParagraph"/>
      </w:pPr>
      <w:r>
        <w:t xml:space="preserve">Between May 2025 and July 2026, SEBI issued six circulars on digital accessibility. This chapter tells you what they require, in plain language.</w:t>
      </w:r>
    </w:p>
    <w:p>
      <w:pPr>
        <w:pStyle w:val="BodyText"/>
      </w:pPr>
      <w:r>
        <w:t xml:space="preserve">You do not need to memorise the circulars. You need to know what you are owed.</w:t>
      </w:r>
    </w:p>
    <w:bookmarkStart w:id="36" w:name="the-timeline"/>
    <w:p>
      <w:pPr>
        <w:pStyle w:val="Heading2"/>
      </w:pPr>
      <w:r>
        <w:t xml:space="preserve">The timeline</w:t>
      </w:r>
    </w:p>
    <w:p>
      <w:pPr>
        <w:pStyle w:val="SourceCode"/>
      </w:pPr>
      <w:r>
        <w:rPr>
          <w:rStyle w:val="VerbatimChar"/>
        </w:rPr>
        <w:t xml:space="preserve">   23 May 2025    Accessible digital KYC required</w:t>
      </w:r>
      <w:r>
        <w:br/>
      </w:r>
      <w:r>
        <w:rPr>
          <w:rStyle w:val="VerbatimChar"/>
        </w:rPr>
        <w:t xml:space="preserve">   31 Jul 2025    The main circular — everything below</w:t>
      </w:r>
      <w:r>
        <w:br/>
      </w:r>
      <w:r>
        <w:rPr>
          <w:rStyle w:val="VerbatimChar"/>
        </w:rPr>
        <w:t xml:space="preserve">   29 Aug 2025    Deadlines extended</w:t>
      </w:r>
      <w:r>
        <w:br/>
      </w:r>
      <w:r>
        <w:rPr>
          <w:rStyle w:val="VerbatimChar"/>
        </w:rPr>
        <w:t xml:space="preserve">   25 Sep 2025    Reporting formats issued</w:t>
      </w:r>
      <w:r>
        <w:br/>
      </w:r>
      <w:r>
        <w:rPr>
          <w:rStyle w:val="VerbatimChar"/>
        </w:rPr>
        <w:t xml:space="preserve">   30 Sep 2025    ► Firms list their platforms for SEBI</w:t>
      </w:r>
      <w:r>
        <w:br/>
      </w:r>
      <w:r>
        <w:rPr>
          <w:rStyle w:val="VerbatimChar"/>
        </w:rPr>
        <w:t xml:space="preserve">   08 Dec 2025    Clarification; accessibility becomes a named investor right</w:t>
      </w:r>
      <w:r>
        <w:br/>
      </w:r>
      <w:r>
        <w:rPr>
          <w:rStyle w:val="VerbatimChar"/>
        </w:rPr>
        <w:t xml:space="preserve">   31 Mar 2026    ► Firms report readiness, platform by platform</w:t>
      </w:r>
      <w:r>
        <w:br/>
      </w:r>
      <w:r>
        <w:rPr>
          <w:rStyle w:val="VerbatimChar"/>
        </w:rPr>
        <w:t xml:space="preserve">   31 Jul 2026    Deadline extended again ────┐</w:t>
      </w:r>
      <w:r>
        <w:br/>
      </w:r>
      <w:r>
        <w:rPr>
          <w:rStyle w:val="VerbatimChar"/>
        </w:rPr>
        <w:t xml:space="preserve">   31 OCT 2026    ► AUDIT AND FIXES DUE  ◄────┘</w:t>
      </w:r>
      <w:r>
        <w:br/>
      </w:r>
      <w:r>
        <w:rPr>
          <w:rStyle w:val="VerbatimChar"/>
        </w:rPr>
        <w:t xml:space="preserve">   30 Apr 2027    ► First annual re-audit</w:t>
      </w:r>
    </w:p>
    <w:p>
      <w:pPr>
        <w:pStyle w:val="FirstParagraph"/>
      </w:pPr>
      <w:r>
        <w:t xml:space="preserve">The date to hold on to is</w:t>
      </w:r>
      <w:r>
        <w:t xml:space="preserve"> </w:t>
      </w:r>
      <w:r>
        <w:rPr>
          <w:b/>
          <w:bCs/>
        </w:rPr>
        <w:t xml:space="preserve">31 October 2026</w:t>
      </w:r>
      <w:r>
        <w:t xml:space="preserve">. By then, every Regulated Entity must have had its investor-facing platforms audited for accessibility and have fixed what the audit found.</w:t>
      </w:r>
    </w:p>
    <w:bookmarkEnd w:id="36"/>
    <w:bookmarkStart w:id="37" w:name="what-must-be-accessible"/>
    <w:p>
      <w:pPr>
        <w:pStyle w:val="Heading2"/>
      </w:pPr>
      <w:r>
        <w:t xml:space="preserve">What must be accessible</w:t>
      </w:r>
    </w:p>
    <w:p>
      <w:pPr>
        <w:pStyle w:val="FirstParagraph"/>
      </w:pPr>
      <w:r>
        <w:t xml:space="preserve">Not just the website. The circular covers every digital platform a firm offers investors: public websites, Android and iOS apps, trading terminals, portfolio dashboards, account-opening journeys, e-KYC and video KYC systems, online forms, customer support tools, and the documents they send you.</w:t>
      </w:r>
    </w:p>
    <w:bookmarkEnd w:id="37"/>
    <w:bookmarkStart w:id="38" w:name="the-standards"/>
    <w:p>
      <w:pPr>
        <w:pStyle w:val="Heading2"/>
      </w:pPr>
      <w:r>
        <w:t xml:space="preserve">The standards</w:t>
      </w:r>
    </w:p>
    <w:p>
      <w:pPr>
        <w:pStyle w:val="FirstParagraph"/>
      </w:pPr>
      <w:r>
        <w:t xml:space="preserve">Firms must meet four things together:</w:t>
      </w:r>
    </w:p>
    <w:p>
      <w:pPr>
        <w:pStyle w:val="Compact"/>
        <w:numPr>
          <w:ilvl w:val="0"/>
          <w:numId w:val="1009"/>
        </w:numPr>
      </w:pPr>
      <w:r>
        <w:rPr>
          <w:b/>
          <w:bCs/>
        </w:rPr>
        <w:t xml:space="preserve">WCAG 2.1</w:t>
      </w:r>
      <w:r>
        <w:t xml:space="preserve"> </w:t>
      </w:r>
      <w:r>
        <w:t xml:space="preserve">— the Web Content Accessibility Guidelines, the international standard built on Perceivable, Operable, Understandable, Robust from Chapter 2. The circular says</w:t>
      </w:r>
      <w:r>
        <w:t xml:space="preserve"> </w:t>
      </w:r>
      <w:r>
        <w:t xml:space="preserve">“2.1 or latest version”</w:t>
      </w:r>
      <w:r>
        <w:t xml:space="preserve">.</w:t>
      </w:r>
      <w:r>
        <w:t xml:space="preserve"> </w:t>
      </w:r>
      <w:r>
        <w:rPr>
          <w:i/>
          <w:iCs/>
        </w:rPr>
        <w:t xml:space="preserve">(You may see vendors advertise</w:t>
      </w:r>
      <w:r>
        <w:rPr>
          <w:i/>
          <w:iCs/>
        </w:rPr>
        <w:t xml:space="preserve"> </w:t>
      </w:r>
      <w:r>
        <w:rPr>
          <w:i/>
          <w:iCs/>
        </w:rPr>
        <w:t xml:space="preserve">“WCAG 2.2”</w:t>
      </w:r>
      <w:r>
        <w:rPr>
          <w:i/>
          <w:iCs/>
        </w:rPr>
        <w:t xml:space="preserve">. SEBI does not name 2.2 anywhere. It is an inference from</w:t>
      </w:r>
      <w:r>
        <w:rPr>
          <w:i/>
          <w:iCs/>
        </w:rPr>
        <w:t xml:space="preserve"> </w:t>
      </w:r>
      <w:r>
        <w:rPr>
          <w:i/>
          <w:iCs/>
        </w:rPr>
        <w:t xml:space="preserve">“or latest version.”</w:t>
      </w:r>
      <w:r>
        <w:rPr>
          <w:i/>
          <w:iCs/>
        </w:rPr>
        <w:t xml:space="preserve">)</w:t>
      </w:r>
    </w:p>
    <w:p>
      <w:pPr>
        <w:pStyle w:val="Compact"/>
        <w:numPr>
          <w:ilvl w:val="0"/>
          <w:numId w:val="1009"/>
        </w:numPr>
      </w:pPr>
      <w:r>
        <w:rPr>
          <w:b/>
          <w:bCs/>
        </w:rPr>
        <w:t xml:space="preserve">GIGW</w:t>
      </w:r>
      <w:r>
        <w:t xml:space="preserve"> </w:t>
      </w:r>
      <w:r>
        <w:t xml:space="preserve">— Guidelines for Indian Government Websites.</w:t>
      </w:r>
    </w:p>
    <w:p>
      <w:pPr>
        <w:pStyle w:val="Compact"/>
        <w:numPr>
          <w:ilvl w:val="0"/>
          <w:numId w:val="1009"/>
        </w:numPr>
      </w:pPr>
      <w:r>
        <w:rPr>
          <w:b/>
          <w:bCs/>
        </w:rPr>
        <w:t xml:space="preserve">IS 17802</w:t>
      </w:r>
      <w:r>
        <w:t xml:space="preserve"> </w:t>
      </w:r>
      <w:r>
        <w:t xml:space="preserve">— the Bureau of Indian Standards’ accessibility standard for information and communication technology.</w:t>
      </w:r>
    </w:p>
    <w:p>
      <w:pPr>
        <w:pStyle w:val="Compact"/>
        <w:numPr>
          <w:ilvl w:val="0"/>
          <w:numId w:val="1009"/>
        </w:numPr>
      </w:pPr>
      <w:r>
        <w:t xml:space="preserve">The RPwD Act provisions from Chapter 3.</w:t>
      </w:r>
    </w:p>
    <w:bookmarkEnd w:id="38"/>
    <w:bookmarkStart w:id="39" w:name="the-ten-things-you-are-owed"/>
    <w:p>
      <w:pPr>
        <w:pStyle w:val="Heading2"/>
      </w:pPr>
      <w:r>
        <w:t xml:space="preserve">The ten things you are owed</w:t>
      </w:r>
    </w:p>
    <w:p>
      <w:pPr>
        <w:pStyle w:val="FirstParagraph"/>
      </w:pPr>
      <w:r>
        <w:t xml:space="preserve">Here is the substance, translated.</w:t>
      </w:r>
    </w:p>
    <w:p>
      <w:pPr>
        <w:pStyle w:val="BodyText"/>
      </w:pPr>
      <w:r>
        <w:rPr>
          <w:b/>
          <w:bCs/>
        </w:rPr>
        <w:t xml:space="preserve">1. A named person responsible.</w:t>
      </w:r>
      <w:r>
        <w:t xml:space="preserve"> </w:t>
      </w:r>
      <w:r>
        <w:t xml:space="preserve">Every firm must appoint a</w:t>
      </w:r>
      <w:r>
        <w:t xml:space="preserve"> </w:t>
      </w:r>
      <w:r>
        <w:rPr>
          <w:b/>
          <w:bCs/>
        </w:rPr>
        <w:t xml:space="preserve">Nodal Officer</w:t>
      </w:r>
      <w:r>
        <w:t xml:space="preserve"> </w:t>
      </w:r>
      <w:r>
        <w:t xml:space="preserve">for digital accessibility — a senior employee who owns this, coordinates the audits, fixes what is found, and handles complaints. If no one is formally appointed, the compliance officer holds the role by default. This person is SEBI’s point of contact, and yours.</w:t>
      </w:r>
    </w:p>
    <w:p>
      <w:pPr>
        <w:pStyle w:val="BodyText"/>
      </w:pPr>
      <w:r>
        <w:rPr>
          <w:b/>
          <w:bCs/>
        </w:rPr>
        <w:t xml:space="preserve">2. A way to complain about accessibility specifically.</w:t>
      </w:r>
      <w:r>
        <w:t xml:space="preserve"> </w:t>
      </w:r>
      <w:r>
        <w:t xml:space="preserve">Not the general grievance line. A channel — email, helpline, or web form — for accessibility problems, itself usable by disabled people, with a route to escalate to senior staff if you get nowhere.</w:t>
      </w:r>
    </w:p>
    <w:p>
      <w:pPr>
        <w:pStyle w:val="BodyText"/>
      </w:pPr>
      <w:r>
        <w:rPr>
          <w:b/>
          <w:bCs/>
        </w:rPr>
        <w:t xml:space="preserve">3. Platforms that work with your assistive technology.</w:t>
      </w:r>
      <w:r>
        <w:t xml:space="preserve"> </w:t>
      </w:r>
      <w:r>
        <w:t xml:space="preserve">Everything in Chapter 2: labels, structure, keyboard operation, contrast, announced errors.</w:t>
      </w:r>
    </w:p>
    <w:p>
      <w:pPr>
        <w:pStyle w:val="BodyText"/>
      </w:pPr>
      <w:r>
        <w:rPr>
          <w:b/>
          <w:bCs/>
        </w:rPr>
        <w:t xml:space="preserve">4. Videos you can follow.</w:t>
      </w:r>
      <w:r>
        <w:t xml:space="preserve"> </w:t>
      </w:r>
      <w:r>
        <w:t xml:space="preserve">Captions, descriptive audio where needed, and</w:t>
      </w:r>
      <w:r>
        <w:t xml:space="preserve"> </w:t>
      </w:r>
      <w:r>
        <w:rPr>
          <w:b/>
          <w:bCs/>
        </w:rPr>
        <w:t xml:space="preserve">Indian Sign Language</w:t>
      </w:r>
      <w:r>
        <w:t xml:space="preserve"> </w:t>
      </w:r>
      <w:r>
        <w:t xml:space="preserve">interpretation. The circular names ISL explicitly, and names KYC explainer videos as an example.</w:t>
      </w:r>
    </w:p>
    <w:p>
      <w:pPr>
        <w:pStyle w:val="BodyText"/>
      </w:pPr>
      <w:r>
        <w:rPr>
          <w:b/>
          <w:bCs/>
        </w:rPr>
        <w:t xml:space="preserve">5. Documents you can actually read.</w:t>
      </w:r>
      <w:r>
        <w:t xml:space="preserve"> </w:t>
      </w:r>
      <w:r>
        <w:t xml:space="preserve">Circulars, notices, contract notes, statements — the PDFs a broker sends you — must follow accessible document standards, with proper headings, a sensible reading order, and descriptions for images. A PDF that is really just a photograph of a page is unreadable by a screen reader, and the circular closes that door.</w:t>
      </w:r>
    </w:p>
    <w:p>
      <w:pPr>
        <w:pStyle w:val="BodyText"/>
      </w:pPr>
      <w:r>
        <w:rPr>
          <w:b/>
          <w:bCs/>
        </w:rPr>
        <w:t xml:space="preserve">6. KYC you can complete.</w:t>
      </w:r>
      <w:r>
        <w:t xml:space="preserve"> </w:t>
      </w:r>
      <w:r>
        <w:t xml:space="preserve">Alternatives must exist: human-assisted video KYC, scanned document upload, voice-assisted verification. Kavya’s blink test cannot be the only route.</w:t>
      </w:r>
    </w:p>
    <w:p>
      <w:pPr>
        <w:pStyle w:val="BodyText"/>
      </w:pPr>
      <w:r>
        <w:rPr>
          <w:b/>
          <w:bCs/>
        </w:rPr>
        <w:t xml:space="preserve">7. A question about disability, and help if you say yes.</w:t>
      </w:r>
      <w:r>
        <w:t xml:space="preserve"> </w:t>
      </w:r>
      <w:r>
        <w:t xml:space="preserve">Account-opening forms must include a field to record disability status and let you request specific help — a callback from a helpdesk, for instance.</w:t>
      </w:r>
    </w:p>
    <w:p>
      <w:pPr>
        <w:pStyle w:val="BodyText"/>
      </w:pPr>
      <w:r>
        <w:rPr>
          <w:b/>
          <w:bCs/>
        </w:rPr>
        <w:t xml:space="preserve">8. A human being before any rejection.</w:t>
      </w:r>
      <w:r>
        <w:t xml:space="preserve"> </w:t>
      </w:r>
      <w:r>
        <w:t xml:space="preserve">This one is worth reading twice. If you have a disability and your application is going to be rejected,</w:t>
      </w:r>
      <w:r>
        <w:t xml:space="preserve"> </w:t>
      </w:r>
      <w:r>
        <w:rPr>
          <w:b/>
          <w:bCs/>
        </w:rPr>
        <w:t xml:space="preserve">the decision must be reviewed by a designated human officer</w:t>
      </w:r>
      <w:r>
        <w:t xml:space="preserve">, who is explicitly empowered to overrule the automated rejection. An algorithm alone may not shut you out.</w:t>
      </w:r>
    </w:p>
    <w:p>
      <w:pPr>
        <w:pStyle w:val="BodyText"/>
      </w:pPr>
      <w:r>
        <w:rPr>
          <w:b/>
          <w:bCs/>
        </w:rPr>
        <w:t xml:space="preserve">9. Audits that involve actual disabled people.</w:t>
      </w:r>
      <w:r>
        <w:t xml:space="preserve"> </w:t>
      </w:r>
      <w:r>
        <w:t xml:space="preserve">The audit must be conducted through certified accessibility professionals, and it must include</w:t>
      </w:r>
      <w:r>
        <w:t xml:space="preserve"> </w:t>
      </w:r>
      <w:r>
        <w:rPr>
          <w:i/>
          <w:iCs/>
        </w:rPr>
        <w:t xml:space="preserve">usability testing by persons with disabilities</w:t>
      </w:r>
      <w:r>
        <w:t xml:space="preserve">. Not a software scan. Real people attempting real tasks. Then annual re-audits.</w:t>
      </w:r>
    </w:p>
    <w:p>
      <w:pPr>
        <w:pStyle w:val="BodyText"/>
      </w:pPr>
      <w:r>
        <w:rPr>
          <w:b/>
          <w:bCs/>
        </w:rPr>
        <w:t xml:space="preserve">10. Accessibility written into their contracts.</w:t>
      </w:r>
      <w:r>
        <w:t xml:space="preserve"> </w:t>
      </w:r>
      <w:r>
        <w:t xml:space="preserve">When a firm buys software from a vendor, accessibility must be in the tender and the contract, and the vendor must audit its own product. Crucially,</w:t>
      </w:r>
      <w:r>
        <w:t xml:space="preserve"> </w:t>
      </w:r>
      <w:r>
        <w:rPr>
          <w:b/>
          <w:bCs/>
        </w:rPr>
        <w:t xml:space="preserve">the responsibility stays with your broker</w:t>
      </w:r>
      <w:r>
        <w:t xml:space="preserve"> </w:t>
      </w:r>
      <w:r>
        <w:t xml:space="preserve">—</w:t>
      </w:r>
      <w:r>
        <w:t xml:space="preserve"> </w:t>
      </w:r>
      <w:r>
        <w:t xml:space="preserve">“our vendor built it”</w:t>
      </w:r>
      <w:r>
        <w:t xml:space="preserve"> </w:t>
      </w:r>
      <w:r>
        <w:t xml:space="preserve">is not a defence.</w:t>
      </w:r>
    </w:p>
    <w:bookmarkEnd w:id="39"/>
    <w:bookmarkStart w:id="40" w:name="the-right-that-has-a-name"/>
    <w:p>
      <w:pPr>
        <w:pStyle w:val="Heading2"/>
      </w:pPr>
      <w:r>
        <w:t xml:space="preserve">The right that has a name</w:t>
      </w:r>
    </w:p>
    <w:p>
      <w:pPr>
        <w:pStyle w:val="FirstParagraph"/>
      </w:pPr>
      <w:r>
        <w:t xml:space="preserve">The clarification of 8 December 2025 added something that matters more than it may appear. It established the</w:t>
      </w:r>
      <w:r>
        <w:t xml:space="preserve"> </w:t>
      </w:r>
      <w:r>
        <w:rPr>
          <w:b/>
          <w:bCs/>
        </w:rPr>
        <w:t xml:space="preserve">“Investors’ Right to have digital accessibility”</w:t>
      </w:r>
      <w:r>
        <w:t xml:space="preserve"> </w:t>
      </w:r>
      <w:r>
        <w:t xml:space="preserve">as a named investor entitlement, to be included in the</w:t>
      </w:r>
      <w:r>
        <w:t xml:space="preserve"> </w:t>
      </w:r>
      <w:r>
        <w:rPr>
          <w:b/>
          <w:bCs/>
        </w:rPr>
        <w:t xml:space="preserve">Investor Charter</w:t>
      </w:r>
      <w:r>
        <w:t xml:space="preserve">.</w:t>
      </w:r>
    </w:p>
    <w:p>
      <w:pPr>
        <w:pStyle w:val="BodyText"/>
      </w:pPr>
      <w:r>
        <w:t xml:space="preserve">An Investor Charter is a document every Regulated Entity publishes setting out what you can expect: the firm’s vision, your rights, your responsibilities, and how to complain. It is the closest thing you have to a plain statement of what you are owed.</w:t>
      </w:r>
    </w:p>
    <w:p>
      <w:pPr>
        <w:pStyle w:val="BodyText"/>
      </w:pPr>
      <w:r>
        <w:t xml:space="preserve">Putting digital accessibility in it moves accessibility from a technical requirement to something you can point at and claim.</w:t>
      </w:r>
    </w:p>
    <w:p>
      <w:pPr>
        <w:pStyle w:val="BodyText"/>
      </w:pPr>
      <w:r>
        <w:t xml:space="preserve">The same clarification confirmed something practical:</w:t>
      </w:r>
      <w:r>
        <w:t xml:space="preserve"> </w:t>
      </w:r>
      <w:r>
        <w:rPr>
          <w:b/>
          <w:bCs/>
        </w:rPr>
        <w:t xml:space="preserve">SCORES</w:t>
      </w:r>
      <w:r>
        <w:t xml:space="preserve">, SEBI’s investor complaint platform, carries a complaint category for</w:t>
      </w:r>
      <w:r>
        <w:t xml:space="preserve"> </w:t>
      </w:r>
      <w:r>
        <w:rPr>
          <w:i/>
          <w:iCs/>
        </w:rPr>
        <w:t xml:space="preserve">Accessibility</w:t>
      </w:r>
      <w:r>
        <w:t xml:space="preserve">. And the firm must actually fix the underlying barrier before your complaint can be closed. Chapter 7 shows you how to use it.</w:t>
      </w:r>
    </w:p>
    <w:bookmarkEnd w:id="40"/>
    <w:bookmarkStart w:id="41" w:name="meeras-side-of-it"/>
    <w:p>
      <w:pPr>
        <w:pStyle w:val="Heading2"/>
      </w:pPr>
      <w:r>
        <w:t xml:space="preserve">Meera’s side of it</w:t>
      </w:r>
    </w:p>
    <w:p>
      <w:pPr>
        <w:pStyle w:val="FirstParagraph"/>
      </w:pPr>
      <w:r>
        <w:t xml:space="preserve">Meera, the compliance officer, is not resisting any of this. Her problem is different.</w:t>
      </w:r>
    </w:p>
    <w:p>
      <w:pPr>
        <w:pStyle w:val="BodyText"/>
      </w:pPr>
      <w:r>
        <w:t xml:space="preserve">She has forty-one investor-facing surfaces once you count the website, two apps, the partner portal, and the white-labelled tools. Her development team is eleven people with a product roadmap already agreed. The circular requires an audit by a certified professional, and when she went looking for one she found a small number of firms and a queue.</w:t>
      </w:r>
    </w:p>
    <w:p>
      <w:pPr>
        <w:pStyle w:val="BodyText"/>
      </w:pPr>
      <w:r>
        <w:t xml:space="preserve">She has, in other words, a real obligation, a real deadline, and a supply problem.</w:t>
      </w:r>
    </w:p>
    <w:p>
      <w:pPr>
        <w:pStyle w:val="BodyText"/>
      </w:pPr>
      <w:r>
        <w:t xml:space="preserve">Understanding Meera’s position does not reduce your right. But it explains why the deadline moved twice, and why you may find in October that a great deal is still unfinished.</w:t>
      </w:r>
    </w:p>
    <w:bookmarkEnd w:id="41"/>
    <w:bookmarkStart w:id="42" w:name="chapter-summary-3"/>
    <w:p>
      <w:pPr>
        <w:pStyle w:val="Heading2"/>
      </w:pPr>
      <w:r>
        <w:t xml:space="preserve">Chapter summary</w:t>
      </w:r>
    </w:p>
    <w:p>
      <w:pPr>
        <w:pStyle w:val="Compact"/>
        <w:numPr>
          <w:ilvl w:val="0"/>
          <w:numId w:val="1010"/>
        </w:numPr>
      </w:pPr>
      <w:r>
        <w:t xml:space="preserve">Six circulars, May 2025 to July 2026. The operative deadline is 31 October 2026.</w:t>
      </w:r>
    </w:p>
    <w:p>
      <w:pPr>
        <w:pStyle w:val="Compact"/>
        <w:numPr>
          <w:ilvl w:val="0"/>
          <w:numId w:val="1010"/>
        </w:numPr>
      </w:pPr>
      <w:r>
        <w:t xml:space="preserve">Coverage is everything investor-facing: sites, apps, terminals, KYC, forms, documents.</w:t>
      </w:r>
    </w:p>
    <w:p>
      <w:pPr>
        <w:pStyle w:val="Compact"/>
        <w:numPr>
          <w:ilvl w:val="0"/>
          <w:numId w:val="1010"/>
        </w:numPr>
      </w:pPr>
      <w:r>
        <w:t xml:space="preserve">Standards: WCAG 2.1 or later, GIGW, IS 17802, plus the RPwD Act.</w:t>
      </w:r>
    </w:p>
    <w:p>
      <w:pPr>
        <w:pStyle w:val="Compact"/>
        <w:numPr>
          <w:ilvl w:val="0"/>
          <w:numId w:val="1010"/>
        </w:numPr>
      </w:pPr>
      <w:r>
        <w:t xml:space="preserve">You are owed ten concrete things, including a named Nodal Officer, an accessibility complaint channel, ISL in videos, readable PDFs, KYC alternatives, and human review before any rejection.</w:t>
      </w:r>
    </w:p>
    <w:p>
      <w:pPr>
        <w:pStyle w:val="Compact"/>
        <w:numPr>
          <w:ilvl w:val="0"/>
          <w:numId w:val="1010"/>
        </w:numPr>
      </w:pPr>
      <w:r>
        <w:t xml:space="preserve">Audits must include real disabled users, and must be repeated annually.</w:t>
      </w:r>
    </w:p>
    <w:p>
      <w:pPr>
        <w:pStyle w:val="Compact"/>
        <w:numPr>
          <w:ilvl w:val="0"/>
          <w:numId w:val="1010"/>
        </w:numPr>
      </w:pPr>
      <w:r>
        <w:t xml:space="preserve">Digital accessibility is now a named right in the Investor Charter, and an Accessibility category exists on SCORES.</w:t>
      </w:r>
    </w:p>
    <w:bookmarkEnd w:id="42"/>
    <w:bookmarkStart w:id="43" w:name="checkpoint-3"/>
    <w:p>
      <w:pPr>
        <w:pStyle w:val="Heading2"/>
      </w:pPr>
      <w:r>
        <w:t xml:space="preserve">Checkpoint</w:t>
      </w:r>
    </w:p>
    <w:p>
      <w:pPr>
        <w:pStyle w:val="Compact"/>
        <w:numPr>
          <w:ilvl w:val="0"/>
          <w:numId w:val="1011"/>
        </w:numPr>
      </w:pPr>
      <w:r>
        <w:t xml:space="preserve">What is a Nodal Officer, and why does it matter that one is named?</w:t>
      </w:r>
    </w:p>
    <w:p>
      <w:pPr>
        <w:pStyle w:val="Compact"/>
        <w:numPr>
          <w:ilvl w:val="0"/>
          <w:numId w:val="1011"/>
        </w:numPr>
      </w:pPr>
      <w:r>
        <w:t xml:space="preserve">What must happen before a disabled applicant’s account can be rejected?</w:t>
      </w:r>
    </w:p>
    <w:p>
      <w:pPr>
        <w:pStyle w:val="Compact"/>
        <w:numPr>
          <w:ilvl w:val="0"/>
          <w:numId w:val="1011"/>
        </w:numPr>
      </w:pPr>
      <w:r>
        <w:t xml:space="preserve">What is the deadline, and what specifically is due on it?</w:t>
      </w:r>
    </w:p>
    <w:p>
      <w:r>
        <w:pict>
          <v:rect style="width:0;height:1.5pt" o:hralign="center" o:hrstd="t" o:hr="t"/>
        </w:pict>
      </w:r>
    </w:p>
    <w:bookmarkEnd w:id="43"/>
    <w:bookmarkEnd w:id="44"/>
    <w:bookmarkStart w:id="51" w:name="chapter-5-the-catch"/>
    <w:p>
      <w:pPr>
        <w:pStyle w:val="Heading1"/>
      </w:pPr>
      <w:r>
        <w:t xml:space="preserve">Chapter 5 — The catch</w:t>
      </w:r>
    </w:p>
    <w:p>
      <w:pPr>
        <w:pStyle w:val="FirstParagraph"/>
      </w:pPr>
      <w:r>
        <w:t xml:space="preserve">Everything in Chapter 4 is real, binding, and dated. This chapter explains why you still cannot find out whether your broker has done any of it.</w:t>
      </w:r>
    </w:p>
    <w:bookmarkStart w:id="45" w:name="where-the-compliance-goes"/>
    <w:p>
      <w:pPr>
        <w:pStyle w:val="Heading2"/>
      </w:pPr>
      <w:r>
        <w:t xml:space="preserve">Where the compliance goes</w:t>
      </w:r>
    </w:p>
    <w:p>
      <w:pPr>
        <w:pStyle w:val="FirstParagraph"/>
      </w:pPr>
      <w:r>
        <w:t xml:space="preserve">When a Regulated Entity completes each step, it reports. The reporting is prescribed in detail — which form, which table, which filename.</w:t>
      </w:r>
    </w:p>
    <w:p>
      <w:pPr>
        <w:pStyle w:val="BodyText"/>
      </w:pPr>
      <w:r>
        <w:t xml:space="preserve">It reports</w:t>
      </w:r>
      <w:r>
        <w:t xml:space="preserve"> </w:t>
      </w:r>
      <w:r>
        <w:rPr>
          <w:b/>
          <w:bCs/>
        </w:rPr>
        <w:t xml:space="preserve">by email</w:t>
      </w:r>
      <w:r>
        <w:t xml:space="preserve">. To SEBI directly, or to its stock exchange or depository, depending on what kind of firm it is.</w:t>
      </w:r>
    </w:p>
    <w:p>
      <w:pPr>
        <w:pStyle w:val="BodyText"/>
      </w:pPr>
      <w:r>
        <w:t xml:space="preserve">And that is where it stops.</w:t>
      </w:r>
    </w:p>
    <w:p>
      <w:pPr>
        <w:pStyle w:val="BodyText"/>
      </w:pPr>
      <w:r>
        <w:t xml:space="preserve">There is no public register of who has complied. No published audit reports. No requirement to publish an accessibility statement, a conformance claim, or a remediation plan. Nothing in six circulars requires a Regulated Entity to tell</w:t>
      </w:r>
      <w:r>
        <w:t xml:space="preserve"> </w:t>
      </w:r>
      <w:r>
        <w:rPr>
          <w:i/>
          <w:iCs/>
        </w:rPr>
        <w:t xml:space="preserve">you</w:t>
      </w:r>
      <w:r>
        <w:t xml:space="preserve"> </w:t>
      </w:r>
      <w:r>
        <w:t xml:space="preserve">anything at all.</w:t>
      </w:r>
    </w:p>
    <w:p>
      <w:pPr>
        <w:pStyle w:val="SourceCode"/>
      </w:pPr>
      <w:r>
        <w:rPr>
          <w:rStyle w:val="VerbatimChar"/>
        </w:rPr>
        <w:t xml:space="preserve">        YOUR BROKER                     SEBI</w:t>
      </w:r>
      <w:r>
        <w:br/>
      </w:r>
      <w:r>
        <w:rPr>
          <w:rStyle w:val="VerbatimChar"/>
        </w:rPr>
        <w:t xml:space="preserve">        ───────────                     ────</w:t>
      </w:r>
      <w:r>
        <w:br/>
      </w:r>
      <w:r>
        <w:rPr>
          <w:rStyle w:val="VerbatimChar"/>
        </w:rPr>
        <w:t xml:space="preserve">        Audit report      ──email──►    [received]</w:t>
      </w:r>
      <w:r>
        <w:br/>
      </w:r>
      <w:r>
        <w:rPr>
          <w:rStyle w:val="VerbatimChar"/>
        </w:rPr>
        <w:t xml:space="preserve">        Readiness status  ──email──►    [received]</w:t>
      </w:r>
      <w:r>
        <w:br/>
      </w:r>
      <w:r>
        <w:rPr>
          <w:rStyle w:val="VerbatimChar"/>
        </w:rPr>
        <w:t xml:space="preserve">        Remediation plan  ──email──►    [received]</w:t>
      </w:r>
      <w:r>
        <w:br/>
      </w:r>
      <w:r>
        <w:br/>
      </w:r>
      <w:r>
        <w:rPr>
          <w:rStyle w:val="VerbatimChar"/>
        </w:rPr>
        <w:t xml:space="preserve">        YOU</w:t>
      </w:r>
      <w:r>
        <w:br/>
      </w:r>
      <w:r>
        <w:rPr>
          <w:rStyle w:val="VerbatimChar"/>
        </w:rPr>
        <w:t xml:space="preserve">        ───</w:t>
      </w:r>
      <w:r>
        <w:br/>
      </w:r>
      <w:r>
        <w:rPr>
          <w:rStyle w:val="VerbatimChar"/>
        </w:rPr>
        <w:t xml:space="preserve">        ...                             (nothing)</w:t>
      </w:r>
    </w:p>
    <w:bookmarkEnd w:id="45"/>
    <w:bookmarkStart w:id="46" w:name="what-that-means-in-practice"/>
    <w:p>
      <w:pPr>
        <w:pStyle w:val="Heading2"/>
      </w:pPr>
      <w:r>
        <w:t xml:space="preserve">What that means in practice</w:t>
      </w:r>
    </w:p>
    <w:p>
      <w:pPr>
        <w:pStyle w:val="FirstParagraph"/>
      </w:pPr>
      <w:r>
        <w:t xml:space="preserve">Break the circulars into their individual obligations — there are twenty-four — and sort them by whether anybody outside the firm could check them.</w:t>
      </w:r>
    </w:p>
    <w:p>
      <w:pPr>
        <w:pStyle w:val="Compact"/>
        <w:numPr>
          <w:ilvl w:val="0"/>
          <w:numId w:val="1012"/>
        </w:numPr>
      </w:pPr>
      <w:r>
        <w:t xml:space="preserve">Five can be checked from published material.</w:t>
      </w:r>
    </w:p>
    <w:p>
      <w:pPr>
        <w:pStyle w:val="Compact"/>
        <w:numPr>
          <w:ilvl w:val="0"/>
          <w:numId w:val="1012"/>
        </w:numPr>
      </w:pPr>
      <w:r>
        <w:t xml:space="preserve">Three can be tested on the live app or website.</w:t>
      </w:r>
    </w:p>
    <w:p>
      <w:pPr>
        <w:pStyle w:val="Compact"/>
        <w:numPr>
          <w:ilvl w:val="0"/>
          <w:numId w:val="1012"/>
        </w:numPr>
      </w:pPr>
      <w:r>
        <w:t xml:space="preserve">Two need an account with the firm.</w:t>
      </w:r>
    </w:p>
    <w:p>
      <w:pPr>
        <w:pStyle w:val="Compact"/>
        <w:numPr>
          <w:ilvl w:val="0"/>
          <w:numId w:val="1012"/>
        </w:numPr>
      </w:pPr>
      <w:r>
        <w:rPr>
          <w:b/>
          <w:bCs/>
        </w:rPr>
        <w:t xml:space="preserve">Fourteen cannot be observed from outside at all.</w:t>
      </w:r>
    </w:p>
    <w:p>
      <w:pPr>
        <w:pStyle w:val="FirstParagraph"/>
      </w:pPr>
      <w:r>
        <w:t xml:space="preserve">Seven of those fourteen would become visible if a firm chose to publish. None is required to.</w:t>
      </w:r>
    </w:p>
    <w:p>
      <w:pPr>
        <w:pStyle w:val="BodyText"/>
      </w:pPr>
      <w:r>
        <w:t xml:space="preserve">So Kavya, deciding between two brokers, has no way to find out which one has done the work. The regulation created an entitlement and no way to shop on it.</w:t>
      </w:r>
    </w:p>
    <w:p>
      <w:pPr>
        <w:pStyle w:val="BodyText"/>
      </w:pPr>
      <w:r>
        <w:t xml:space="preserve">This is not a small gap. Consider what it means for the ordinary mechanism by which markets improve: a firm that invests seriously in accessibility gets no visible credit for it, and a firm that files a form and changes nothing bears no visible cost. From the outside, on the day before the deadline, they look identical.</w:t>
      </w:r>
    </w:p>
    <w:bookmarkEnd w:id="46"/>
    <w:bookmarkStart w:id="47" w:name="and-the-right-that-has-not-arrived"/>
    <w:p>
      <w:pPr>
        <w:pStyle w:val="Heading2"/>
      </w:pPr>
      <w:r>
        <w:t xml:space="preserve">And the right that has not arrived</w:t>
      </w:r>
    </w:p>
    <w:p>
      <w:pPr>
        <w:pStyle w:val="FirstParagraph"/>
      </w:pPr>
      <w:r>
        <w:t xml:space="preserve">There is a second problem, and it is stranger.</w:t>
      </w:r>
    </w:p>
    <w:p>
      <w:pPr>
        <w:pStyle w:val="BodyText"/>
      </w:pPr>
      <w:r>
        <w:t xml:space="preserve">Recall from Chapter 4 that the December 2025 clarification said the Investors’ Right to digital accessibility</w:t>
      </w:r>
      <w:r>
        <w:t xml:space="preserve"> </w:t>
      </w:r>
      <w:r>
        <w:t xml:space="preserve">“will be included in the respective Investor Charters applicable to various REs,</w:t>
      </w:r>
      <w:r>
        <w:t xml:space="preserve"> </w:t>
      </w:r>
      <w:r>
        <w:rPr>
          <w:b/>
          <w:bCs/>
        </w:rPr>
        <w:t xml:space="preserve">published by SEBI</w:t>
      </w:r>
      <w:r>
        <w:t xml:space="preserve">.”</w:t>
      </w:r>
    </w:p>
    <w:p>
      <w:pPr>
        <w:pStyle w:val="BodyText"/>
      </w:pPr>
      <w:r>
        <w:t xml:space="preserve">Read the last three words again. The model Investor Charter is a template that SEBI publishes; firms adopt it.</w:t>
      </w:r>
    </w:p>
    <w:p>
      <w:pPr>
        <w:pStyle w:val="BodyText"/>
      </w:pPr>
      <w:r>
        <w:t xml:space="preserve">In August 2026, eight months after that clarification, the investor charters of India’s largest brokers do not contain the right. Every one of them is the standard SEBI template, word for word. And SEBI’s own published Investor Charter — some sixty-five thousand characters of it — contains no mention of digital accessibility, no mention of disability, and no accessibility right anywhere in it.</w:t>
      </w:r>
    </w:p>
    <w:p>
      <w:pPr>
        <w:pStyle w:val="BodyText"/>
      </w:pPr>
      <w:r>
        <w:t xml:space="preserve">The most recent Investor Charter circular for stock brokers that can be located is dated February 2025 — nine months</w:t>
      </w:r>
      <w:r>
        <w:t xml:space="preserve"> </w:t>
      </w:r>
      <w:r>
        <w:rPr>
          <w:i/>
          <w:iCs/>
        </w:rPr>
        <w:t xml:space="preserve">before</w:t>
      </w:r>
      <w:r>
        <w:t xml:space="preserve"> </w:t>
      </w:r>
      <w:r>
        <w:t xml:space="preserve">the clarification that promised the right.</w:t>
      </w:r>
    </w:p>
    <w:p>
      <w:pPr>
        <w:pStyle w:val="BodyText"/>
      </w:pPr>
      <w:r>
        <w:t xml:space="preserve">The brokers are not ignoring an obligation here. They are using the template their regulator gave them, and the regulator does not appear to have updated it.</w:t>
      </w:r>
    </w:p>
    <w:p>
      <w:pPr>
        <w:pStyle w:val="BodyText"/>
      </w:pPr>
      <w:r>
        <w:t xml:space="preserve">That is worth knowing before you go looking. If you read your broker’s Investor Charter expecting to find your accessibility right in it, you will not find it, and the reason is probably not your broker.</w:t>
      </w:r>
    </w:p>
    <w:bookmarkEnd w:id="47"/>
    <w:bookmarkStart w:id="48" w:name="does-that-make-the-right-unreal"/>
    <w:p>
      <w:pPr>
        <w:pStyle w:val="Heading2"/>
      </w:pPr>
      <w:r>
        <w:t xml:space="preserve">Does that make the right unreal?</w:t>
      </w:r>
    </w:p>
    <w:p>
      <w:pPr>
        <w:pStyle w:val="FirstParagraph"/>
      </w:pPr>
      <w:r>
        <w:t xml:space="preserve">No — and this is important, so do not take the wrong lesson from this chapter.</w:t>
      </w:r>
    </w:p>
    <w:p>
      <w:pPr>
        <w:pStyle w:val="BodyText"/>
      </w:pPr>
      <w:r>
        <w:t xml:space="preserve">Your right does not come from the Investor Charter. It comes from Article 21 of the Constitution, by way of the Supreme Court, and from the RPwD Act, and from circulars that are binding on your broker whether or not any charter mentions them.</w:t>
      </w:r>
    </w:p>
    <w:p>
      <w:pPr>
        <w:pStyle w:val="BodyText"/>
      </w:pPr>
      <w:r>
        <w:t xml:space="preserve">The charter would make the right</w:t>
      </w:r>
      <w:r>
        <w:t xml:space="preserve"> </w:t>
      </w:r>
      <w:r>
        <w:rPr>
          <w:i/>
          <w:iCs/>
        </w:rPr>
        <w:t xml:space="preserve">easier to point at</w:t>
      </w:r>
      <w:r>
        <w:t xml:space="preserve">. Its absence does not make the right</w:t>
      </w:r>
      <w:r>
        <w:t xml:space="preserve"> </w:t>
      </w:r>
      <w:r>
        <w:rPr>
          <w:i/>
          <w:iCs/>
        </w:rPr>
        <w:t xml:space="preserve">absent</w:t>
      </w:r>
      <w:r>
        <w:t xml:space="preserve">.</w:t>
      </w:r>
    </w:p>
    <w:p>
      <w:pPr>
        <w:pStyle w:val="BodyText"/>
      </w:pPr>
      <w:r>
        <w:t xml:space="preserve">And one route works today regardless: the Accessibility category on SCORES exists now. Chapter 7 shows you how to use it.</w:t>
      </w:r>
    </w:p>
    <w:bookmarkEnd w:id="48"/>
    <w:bookmarkStart w:id="49" w:name="chapter-summary-4"/>
    <w:p>
      <w:pPr>
        <w:pStyle w:val="Heading2"/>
      </w:pPr>
      <w:r>
        <w:t xml:space="preserve">Chapter summary</w:t>
      </w:r>
    </w:p>
    <w:p>
      <w:pPr>
        <w:pStyle w:val="Compact"/>
        <w:numPr>
          <w:ilvl w:val="0"/>
          <w:numId w:val="1013"/>
        </w:numPr>
      </w:pPr>
      <w:r>
        <w:t xml:space="preserve">Every compliance filing goes privately by email to SEBI, an exchange, or a depository.</w:t>
      </w:r>
    </w:p>
    <w:p>
      <w:pPr>
        <w:pStyle w:val="Compact"/>
        <w:numPr>
          <w:ilvl w:val="0"/>
          <w:numId w:val="1013"/>
        </w:numPr>
      </w:pPr>
      <w:r>
        <w:t xml:space="preserve">Nothing requires a firm to publish anything: no register, no audit, no statement.</w:t>
      </w:r>
    </w:p>
    <w:p>
      <w:pPr>
        <w:pStyle w:val="Compact"/>
        <w:numPr>
          <w:ilvl w:val="0"/>
          <w:numId w:val="1013"/>
        </w:numPr>
      </w:pPr>
      <w:r>
        <w:t xml:space="preserve">Of twenty-four obligations, fourteen cannot be checked from outside at all.</w:t>
      </w:r>
    </w:p>
    <w:p>
      <w:pPr>
        <w:pStyle w:val="Compact"/>
        <w:numPr>
          <w:ilvl w:val="0"/>
          <w:numId w:val="1013"/>
        </w:numPr>
      </w:pPr>
      <w:r>
        <w:t xml:space="preserve">SEBI’s own Investor Charter does not yet contain the accessibility right it announced in December 2025, so no broker’s charter does either.</w:t>
      </w:r>
    </w:p>
    <w:p>
      <w:pPr>
        <w:pStyle w:val="Compact"/>
        <w:numPr>
          <w:ilvl w:val="0"/>
          <w:numId w:val="1013"/>
        </w:numPr>
      </w:pPr>
      <w:r>
        <w:t xml:space="preserve">None of this weakens your underlying right, which rests on the Constitution and the circulars, not on the charter.</w:t>
      </w:r>
    </w:p>
    <w:bookmarkEnd w:id="49"/>
    <w:bookmarkStart w:id="50" w:name="checkpoint-4"/>
    <w:p>
      <w:pPr>
        <w:pStyle w:val="Heading2"/>
      </w:pPr>
      <w:r>
        <w:t xml:space="preserve">Checkpoint</w:t>
      </w:r>
    </w:p>
    <w:p>
      <w:pPr>
        <w:pStyle w:val="Compact"/>
        <w:numPr>
          <w:ilvl w:val="0"/>
          <w:numId w:val="1014"/>
        </w:numPr>
      </w:pPr>
      <w:r>
        <w:t xml:space="preserve">Where does your broker send its accessibility compliance report?</w:t>
      </w:r>
    </w:p>
    <w:p>
      <w:pPr>
        <w:pStyle w:val="Compact"/>
        <w:numPr>
          <w:ilvl w:val="0"/>
          <w:numId w:val="1014"/>
        </w:numPr>
      </w:pPr>
      <w:r>
        <w:t xml:space="preserve">Why can you not compare two brokers on accessibility today?</w:t>
      </w:r>
    </w:p>
    <w:p>
      <w:pPr>
        <w:pStyle w:val="Compact"/>
        <w:numPr>
          <w:ilvl w:val="0"/>
          <w:numId w:val="1014"/>
        </w:numPr>
      </w:pPr>
      <w:r>
        <w:t xml:space="preserve">If your Investor Charter does not mention accessibility, have you lost the right?</w:t>
      </w:r>
    </w:p>
    <w:p>
      <w:r>
        <w:pict>
          <v:rect style="width:0;height:1.5pt" o:hralign="center" o:hrstd="t" o:hr="t"/>
        </w:pict>
      </w:r>
    </w:p>
    <w:bookmarkEnd w:id="50"/>
    <w:bookmarkEnd w:id="51"/>
    <w:bookmarkStart w:id="61" w:name="chapter-6-what-you-can-check-yourself"/>
    <w:p>
      <w:pPr>
        <w:pStyle w:val="Heading1"/>
      </w:pPr>
      <w:r>
        <w:t xml:space="preserve">Chapter 6 — What you can check yourself</w:t>
      </w:r>
    </w:p>
    <w:p>
      <w:pPr>
        <w:pStyle w:val="FirstParagraph"/>
      </w:pPr>
      <w:r>
        <w:t xml:space="preserve">You cannot see the audit. You can see the app. This chapter gives you six checks that need no technical skill and about twenty minutes.</w:t>
      </w:r>
    </w:p>
    <w:p>
      <w:pPr>
        <w:pStyle w:val="BodyText"/>
      </w:pPr>
      <w:r>
        <w:t xml:space="preserve">None of these proves compliance. All of them are the kind of thing an audit would catch, so failures are meaningful.</w:t>
      </w:r>
    </w:p>
    <w:bookmarkStart w:id="52" w:name="Xd942542338af5c5d4ae1568ffe08e0fff6cd262"/>
    <w:p>
      <w:pPr>
        <w:pStyle w:val="Heading2"/>
      </w:pPr>
      <w:r>
        <w:t xml:space="preserve">Check 1 — Look for an accessibility statement</w:t>
      </w:r>
    </w:p>
    <w:p>
      <w:pPr>
        <w:pStyle w:val="FirstParagraph"/>
      </w:pPr>
      <w:r>
        <w:t xml:space="preserve">Go to your broker’s website and scroll to the very bottom, where the small print lives. Look for a link saying</w:t>
      </w:r>
      <w:r>
        <w:t xml:space="preserve"> </w:t>
      </w:r>
      <w:r>
        <w:rPr>
          <w:i/>
          <w:iCs/>
        </w:rPr>
        <w:t xml:space="preserve">Accessibility</w:t>
      </w:r>
      <w:r>
        <w:t xml:space="preserve">,</w:t>
      </w:r>
      <w:r>
        <w:t xml:space="preserve"> </w:t>
      </w:r>
      <w:r>
        <w:rPr>
          <w:i/>
          <w:iCs/>
        </w:rPr>
        <w:t xml:space="preserve">Accessibility Statement</w:t>
      </w:r>
      <w:r>
        <w:t xml:space="preserve">, or similar.</w:t>
      </w:r>
    </w:p>
    <w:p>
      <w:pPr>
        <w:pStyle w:val="BodyText"/>
      </w:pPr>
      <w:r>
        <w:rPr>
          <w:b/>
          <w:bCs/>
        </w:rPr>
        <w:t xml:space="preserve">What good looks like:</w:t>
      </w:r>
      <w:r>
        <w:t xml:space="preserve"> </w:t>
      </w:r>
      <w:r>
        <w:t xml:space="preserve">a page that names a standard</w:t>
      </w:r>
      <w:r>
        <w:t xml:space="preserve"> </w:t>
      </w:r>
      <w:r>
        <w:rPr>
          <w:i/>
          <w:iCs/>
        </w:rPr>
        <w:t xml:space="preserve">and</w:t>
      </w:r>
      <w:r>
        <w:t xml:space="preserve"> </w:t>
      </w:r>
      <w:r>
        <w:t xml:space="preserve">a level (</w:t>
      </w:r>
      <w:r>
        <w:t xml:space="preserve">“WCAG 2.1 Level AA”</w:t>
      </w:r>
      <w:r>
        <w:t xml:space="preserve">), says who audited it and when, gives a contact for accessibility problems, and is honest about what does not work yet.</w:t>
      </w:r>
    </w:p>
    <w:p>
      <w:pPr>
        <w:pStyle w:val="BodyText"/>
      </w:pPr>
      <w:r>
        <w:rPr>
          <w:b/>
          <w:bCs/>
        </w:rPr>
        <w:t xml:space="preserve">What a weak version looks like:</w:t>
      </w:r>
      <w:r>
        <w:t xml:space="preserve"> </w:t>
      </w:r>
      <w:r>
        <w:t xml:space="preserve">“We are committed to accessibility for all users.”</w:t>
      </w:r>
      <w:r>
        <w:t xml:space="preserve"> </w:t>
      </w:r>
      <w:r>
        <w:t xml:space="preserve">That is a sentence, not a commitment. It names no standard, no date, no person.</w:t>
      </w:r>
    </w:p>
    <w:p>
      <w:pPr>
        <w:pStyle w:val="BodyText"/>
      </w:pPr>
      <w:r>
        <w:rPr>
          <w:b/>
          <w:bCs/>
        </w:rPr>
        <w:t xml:space="preserve">What you will most likely find:</w:t>
      </w:r>
      <w:r>
        <w:t xml:space="preserve"> </w:t>
      </w:r>
      <w:r>
        <w:t xml:space="preserve">nothing at all. Among India’s largest brokers, publishing any accessibility statement is currently the exception.</w:t>
      </w:r>
    </w:p>
    <w:p>
      <w:pPr>
        <w:pStyle w:val="BodyText"/>
      </w:pPr>
      <w:r>
        <w:t xml:space="preserve">Be careful of one thing. Some sites carry an</w:t>
      </w:r>
      <w:r>
        <w:t xml:space="preserve"> </w:t>
      </w:r>
      <w:r>
        <w:rPr>
          <w:i/>
          <w:iCs/>
        </w:rPr>
        <w:t xml:space="preserve">accessibility widget</w:t>
      </w:r>
      <w:r>
        <w:t xml:space="preserve"> </w:t>
      </w:r>
      <w:r>
        <w:t xml:space="preserve">— a little icon that opens a panel letting you change font size and contrast. That is not an accessibility statement and it is not conformance. It is a plug-in on top of the page, and it does not fix unlabelled buttons or unannounced errors underneath.</w:t>
      </w:r>
    </w:p>
    <w:bookmarkEnd w:id="52"/>
    <w:bookmarkStart w:id="53" w:name="check-2-find-the-nodal-officer"/>
    <w:p>
      <w:pPr>
        <w:pStyle w:val="Heading2"/>
      </w:pPr>
      <w:r>
        <w:t xml:space="preserve">Check 2 — Find the Nodal Officer</w:t>
      </w:r>
    </w:p>
    <w:p>
      <w:pPr>
        <w:pStyle w:val="FirstParagraph"/>
      </w:pPr>
      <w:r>
        <w:t xml:space="preserve">Search the site for</w:t>
      </w:r>
      <w:r>
        <w:t xml:space="preserve"> </w:t>
      </w:r>
      <w:r>
        <w:rPr>
          <w:i/>
          <w:iCs/>
        </w:rPr>
        <w:t xml:space="preserve">Nodal Officer</w:t>
      </w:r>
      <w:r>
        <w:t xml:space="preserve">. Most brokers have one for grievances generally.</w:t>
      </w:r>
    </w:p>
    <w:p>
      <w:pPr>
        <w:pStyle w:val="BodyText"/>
      </w:pPr>
      <w:r>
        <w:t xml:space="preserve">Now look for one for</w:t>
      </w:r>
      <w:r>
        <w:t xml:space="preserve"> </w:t>
      </w:r>
      <w:r>
        <w:rPr>
          <w:b/>
          <w:bCs/>
        </w:rPr>
        <w:t xml:space="preserve">digital accessibility</w:t>
      </w:r>
      <w:r>
        <w:t xml:space="preserve"> </w:t>
      </w:r>
      <w:r>
        <w:t xml:space="preserve">specifically. The circular requires it.</w:t>
      </w:r>
    </w:p>
    <w:p>
      <w:pPr>
        <w:pStyle w:val="BodyText"/>
      </w:pPr>
      <w:r>
        <w:t xml:space="preserve">If you cannot find a named person with contact details, that is a finding. Note the date you looked.</w:t>
      </w:r>
    </w:p>
    <w:bookmarkEnd w:id="53"/>
    <w:bookmarkStart w:id="54" w:name="X65a3ef1beeb2b5bd6d5536f1aed4b0c69d781e0"/>
    <w:p>
      <w:pPr>
        <w:pStyle w:val="Heading2"/>
      </w:pPr>
      <w:r>
        <w:t xml:space="preserve">Check 3 — Try to complain about accessibility</w:t>
      </w:r>
    </w:p>
    <w:p>
      <w:pPr>
        <w:pStyle w:val="FirstParagraph"/>
      </w:pPr>
      <w:r>
        <w:t xml:space="preserve">Go to the grievance or complaints page. Ask yourself: if my problem were</w:t>
      </w:r>
      <w:r>
        <w:t xml:space="preserve"> </w:t>
      </w:r>
      <w:r>
        <w:rPr>
          <w:i/>
          <w:iCs/>
        </w:rPr>
        <w:t xml:space="preserve">“your app does not work with my screen reader”</w:t>
      </w:r>
      <w:r>
        <w:t xml:space="preserve">, where would I put it?</w:t>
      </w:r>
    </w:p>
    <w:p>
      <w:pPr>
        <w:pStyle w:val="BodyText"/>
      </w:pPr>
      <w:r>
        <w:t xml:space="preserve">The circular requires a channel specifically for accessibility, usable by disabled people, with an escalation path. A single generic web form with a 200-character box and no category for accessibility is not that.</w:t>
      </w:r>
    </w:p>
    <w:bookmarkEnd w:id="54"/>
    <w:bookmarkStart w:id="55" w:name="check-4-the-keyboard-test"/>
    <w:p>
      <w:pPr>
        <w:pStyle w:val="Heading2"/>
      </w:pPr>
      <w:r>
        <w:t xml:space="preserve">Check 4 — The keyboard test</w:t>
      </w:r>
    </w:p>
    <w:p>
      <w:pPr>
        <w:pStyle w:val="FirstParagraph"/>
      </w:pPr>
      <w:r>
        <w:t xml:space="preserve">This one takes two minutes and tells you a great deal.</w:t>
      </w:r>
    </w:p>
    <w:p>
      <w:pPr>
        <w:pStyle w:val="BodyText"/>
      </w:pPr>
      <w:r>
        <w:t xml:space="preserve">Open your broker’s website on a computer.</w:t>
      </w:r>
      <w:r>
        <w:t xml:space="preserve"> </w:t>
      </w:r>
      <w:r>
        <w:rPr>
          <w:b/>
          <w:bCs/>
        </w:rPr>
        <w:t xml:space="preserve">Do not touch the mouse.</w:t>
      </w:r>
      <w:r>
        <w:t xml:space="preserve"> </w:t>
      </w:r>
      <w:r>
        <w:t xml:space="preserve">Press the</w:t>
      </w:r>
      <w:r>
        <w:t xml:space="preserve"> </w:t>
      </w:r>
      <w:r>
        <w:rPr>
          <w:rStyle w:val="VerbatimChar"/>
        </w:rPr>
        <w:t xml:space="preserve">Tab</w:t>
      </w:r>
      <w:r>
        <w:t xml:space="preserve"> </w:t>
      </w:r>
      <w:r>
        <w:t xml:space="preserve">key repeatedly.</w:t>
      </w:r>
    </w:p>
    <w:p>
      <w:pPr>
        <w:pStyle w:val="BodyText"/>
      </w:pPr>
      <w:r>
        <w:t xml:space="preserve">Watch what happens.</w:t>
      </w:r>
    </w:p>
    <w:p>
      <w:pPr>
        <w:pStyle w:val="Compact"/>
        <w:numPr>
          <w:ilvl w:val="0"/>
          <w:numId w:val="1015"/>
        </w:numPr>
      </w:pPr>
      <w:r>
        <w:t xml:space="preserve">Can you see where you are? Something — an outline, a highlight — should clearly show which control is focused. If the focus is invisible, a keyboard user is navigating blind.</w:t>
      </w:r>
    </w:p>
    <w:p>
      <w:pPr>
        <w:pStyle w:val="Compact"/>
        <w:numPr>
          <w:ilvl w:val="0"/>
          <w:numId w:val="1015"/>
        </w:numPr>
      </w:pPr>
      <w:r>
        <w:t xml:space="preserve">Does the order make sense? It should move roughly the way you read.</w:t>
      </w:r>
    </w:p>
    <w:p>
      <w:pPr>
        <w:pStyle w:val="Compact"/>
        <w:numPr>
          <w:ilvl w:val="0"/>
          <w:numId w:val="1015"/>
        </w:numPr>
      </w:pPr>
      <w:r>
        <w:t xml:space="preserve">Can you reach everything? Try to reach the login button, the menu, the footer links.</w:t>
      </w:r>
    </w:p>
    <w:p>
      <w:pPr>
        <w:pStyle w:val="Compact"/>
        <w:numPr>
          <w:ilvl w:val="0"/>
          <w:numId w:val="1015"/>
        </w:numPr>
      </w:pPr>
      <w:r>
        <w:t xml:space="preserve">Can you get</w:t>
      </w:r>
      <w:r>
        <w:t xml:space="preserve"> </w:t>
      </w:r>
      <w:r>
        <w:rPr>
          <w:i/>
          <w:iCs/>
        </w:rPr>
        <w:t xml:space="preserve">out</w:t>
      </w:r>
      <w:r>
        <w:t xml:space="preserve"> </w:t>
      </w:r>
      <w:r>
        <w:t xml:space="preserve">of things? Open a pop-up and try to close it with the keyboard alone. If you cannot escape it, that is called a keyboard trap, and it is one of the more serious failures there is.</w:t>
      </w:r>
    </w:p>
    <w:p>
      <w:pPr>
        <w:pStyle w:val="FirstParagraph"/>
      </w:pPr>
      <w:r>
        <w:t xml:space="preserve">If you cannot complete the main task on the page without a mouse, neither can anyone who cannot use one.</w:t>
      </w:r>
    </w:p>
    <w:bookmarkEnd w:id="55"/>
    <w:bookmarkStart w:id="56" w:name="check-5-the-zoom-test"/>
    <w:p>
      <w:pPr>
        <w:pStyle w:val="Heading2"/>
      </w:pPr>
      <w:r>
        <w:t xml:space="preserve">Check 5 — The zoom test</w:t>
      </w:r>
    </w:p>
    <w:p>
      <w:pPr>
        <w:pStyle w:val="FirstParagraph"/>
      </w:pPr>
      <w:r>
        <w:t xml:space="preserve">This is Rohan’s test.</w:t>
      </w:r>
    </w:p>
    <w:p>
      <w:pPr>
        <w:pStyle w:val="BodyText"/>
      </w:pPr>
      <w:r>
        <w:t xml:space="preserve">On the website, press</w:t>
      </w:r>
      <w:r>
        <w:t xml:space="preserve"> </w:t>
      </w:r>
      <w:r>
        <w:rPr>
          <w:rStyle w:val="VerbatimChar"/>
        </w:rPr>
        <w:t xml:space="preserve">Ctrl</w:t>
      </w:r>
      <w:r>
        <w:t xml:space="preserve"> </w:t>
      </w:r>
      <w:r>
        <w:t xml:space="preserve">and</w:t>
      </w:r>
      <w:r>
        <w:t xml:space="preserve"> </w:t>
      </w:r>
      <w:r>
        <w:rPr>
          <w:rStyle w:val="VerbatimChar"/>
        </w:rPr>
        <w:t xml:space="preserve">+</w:t>
      </w:r>
      <w:r>
        <w:t xml:space="preserve"> </w:t>
      </w:r>
      <w:r>
        <w:t xml:space="preserve">(or</w:t>
      </w:r>
      <w:r>
        <w:t xml:space="preserve"> </w:t>
      </w:r>
      <w:r>
        <w:rPr>
          <w:rStyle w:val="VerbatimChar"/>
        </w:rPr>
        <w:t xml:space="preserve">Cmd</w:t>
      </w:r>
      <w:r>
        <w:t xml:space="preserve"> </w:t>
      </w:r>
      <w:r>
        <w:t xml:space="preserve">and</w:t>
      </w:r>
      <w:r>
        <w:t xml:space="preserve"> </w:t>
      </w:r>
      <w:r>
        <w:rPr>
          <w:rStyle w:val="VerbatimChar"/>
        </w:rPr>
        <w:t xml:space="preserve">+</w:t>
      </w:r>
      <w:r>
        <w:t xml:space="preserve"> </w:t>
      </w:r>
      <w:r>
        <w:t xml:space="preserve">on a Mac) until the page is at 200% — press it about four times. Many people with low vision browse permanently at this size or larger.</w:t>
      </w:r>
    </w:p>
    <w:p>
      <w:pPr>
        <w:pStyle w:val="BodyText"/>
      </w:pPr>
      <w:r>
        <w:t xml:space="preserve">Now look:</w:t>
      </w:r>
    </w:p>
    <w:p>
      <w:pPr>
        <w:pStyle w:val="Compact"/>
        <w:numPr>
          <w:ilvl w:val="0"/>
          <w:numId w:val="1016"/>
        </w:numPr>
      </w:pPr>
      <w:r>
        <w:t xml:space="preserve">Is text cut off, or overlapping?</w:t>
      </w:r>
    </w:p>
    <w:p>
      <w:pPr>
        <w:pStyle w:val="Compact"/>
        <w:numPr>
          <w:ilvl w:val="0"/>
          <w:numId w:val="1016"/>
        </w:numPr>
      </w:pPr>
      <w:r>
        <w:t xml:space="preserve">Has anything disappeared?</w:t>
      </w:r>
    </w:p>
    <w:p>
      <w:pPr>
        <w:pStyle w:val="Compact"/>
        <w:numPr>
          <w:ilvl w:val="0"/>
          <w:numId w:val="1016"/>
        </w:numPr>
      </w:pPr>
      <w:r>
        <w:t xml:space="preserve">Do you have to scroll sideways to read a line of text? Horizontal scrolling to read is a specific failure and a common one.</w:t>
      </w:r>
    </w:p>
    <w:p>
      <w:pPr>
        <w:pStyle w:val="Compact"/>
        <w:numPr>
          <w:ilvl w:val="0"/>
          <w:numId w:val="1016"/>
        </w:numPr>
      </w:pPr>
      <w:r>
        <w:t xml:space="preserve">Can you still find the main buttons?</w:t>
      </w:r>
    </w:p>
    <w:bookmarkEnd w:id="56"/>
    <w:bookmarkStart w:id="57" w:name="check-6-open-a-pdf"/>
    <w:p>
      <w:pPr>
        <w:pStyle w:val="Heading2"/>
      </w:pPr>
      <w:r>
        <w:t xml:space="preserve">Check 6 — Open a PDF</w:t>
      </w:r>
    </w:p>
    <w:p>
      <w:pPr>
        <w:pStyle w:val="FirstParagraph"/>
      </w:pPr>
      <w:r>
        <w:t xml:space="preserve">Download a document your broker gives you — a contract note, an account statement, the Investor Charter itself.</w:t>
      </w:r>
    </w:p>
    <w:p>
      <w:pPr>
        <w:pStyle w:val="BodyText"/>
      </w:pPr>
      <w:r>
        <w:t xml:space="preserve">Open it and try to</w:t>
      </w:r>
      <w:r>
        <w:t xml:space="preserve"> </w:t>
      </w:r>
      <w:r>
        <w:rPr>
          <w:b/>
          <w:bCs/>
        </w:rPr>
        <w:t xml:space="preserve">select the text with your mouse</w:t>
      </w:r>
      <w:r>
        <w:t xml:space="preserve">, as if to copy it.</w:t>
      </w:r>
    </w:p>
    <w:p>
      <w:pPr>
        <w:pStyle w:val="BodyText"/>
      </w:pPr>
      <w:r>
        <w:t xml:space="preserve">If you can select and copy the words, there is real text there, which is a good start. If you cannot — if the whole page behaves like a single image — then it is a picture of a document, and a screen reader can read nothing on it at all.</w:t>
      </w:r>
    </w:p>
    <w:p>
      <w:pPr>
        <w:pStyle w:val="BodyText"/>
      </w:pPr>
      <w:r>
        <w:t xml:space="preserve">This matters more than it sounds. Some of the most important documents you receive, the ones that record what you own and what you were charged, arrive as PDFs.</w:t>
      </w:r>
    </w:p>
    <w:bookmarkEnd w:id="57"/>
    <w:bookmarkStart w:id="58" w:name="recording-what-you-find"/>
    <w:p>
      <w:pPr>
        <w:pStyle w:val="Heading2"/>
      </w:pPr>
      <w:r>
        <w:t xml:space="preserve">Recording what you find</w:t>
      </w:r>
    </w:p>
    <w:p>
      <w:pPr>
        <w:pStyle w:val="FirstParagraph"/>
      </w:pPr>
      <w:r>
        <w:t xml:space="preserve">If you intend to complain, or simply to keep a record, write down for each check:</w:t>
      </w:r>
    </w:p>
    <w:p>
      <w:pPr>
        <w:pStyle w:val="Compact"/>
        <w:numPr>
          <w:ilvl w:val="0"/>
          <w:numId w:val="1017"/>
        </w:numPr>
      </w:pPr>
      <w:r>
        <w:t xml:space="preserve">the date and time</w:t>
      </w:r>
    </w:p>
    <w:p>
      <w:pPr>
        <w:pStyle w:val="Compact"/>
        <w:numPr>
          <w:ilvl w:val="0"/>
          <w:numId w:val="1017"/>
        </w:numPr>
      </w:pPr>
      <w:r>
        <w:t xml:space="preserve">the exact page address</w:t>
      </w:r>
    </w:p>
    <w:p>
      <w:pPr>
        <w:pStyle w:val="Compact"/>
        <w:numPr>
          <w:ilvl w:val="0"/>
          <w:numId w:val="1017"/>
        </w:numPr>
      </w:pPr>
      <w:r>
        <w:t xml:space="preserve">what you did, step by step</w:t>
      </w:r>
    </w:p>
    <w:p>
      <w:pPr>
        <w:pStyle w:val="Compact"/>
        <w:numPr>
          <w:ilvl w:val="0"/>
          <w:numId w:val="1017"/>
        </w:numPr>
      </w:pPr>
      <w:r>
        <w:t xml:space="preserve">what happened</w:t>
      </w:r>
    </w:p>
    <w:p>
      <w:pPr>
        <w:pStyle w:val="Compact"/>
        <w:numPr>
          <w:ilvl w:val="0"/>
          <w:numId w:val="1017"/>
        </w:numPr>
      </w:pPr>
      <w:r>
        <w:t xml:space="preserve">what you expected instead</w:t>
      </w:r>
    </w:p>
    <w:p>
      <w:pPr>
        <w:pStyle w:val="Compact"/>
        <w:numPr>
          <w:ilvl w:val="0"/>
          <w:numId w:val="1017"/>
        </w:numPr>
      </w:pPr>
      <w:r>
        <w:t xml:space="preserve">a screenshot or a screen recording if you can</w:t>
      </w:r>
    </w:p>
    <w:p>
      <w:pPr>
        <w:pStyle w:val="FirstParagraph"/>
      </w:pPr>
      <w:r>
        <w:t xml:space="preserve">That record is what turns</w:t>
      </w:r>
      <w:r>
        <w:t xml:space="preserve"> </w:t>
      </w:r>
      <w:r>
        <w:t xml:space="preserve">“the app doesn’t work”</w:t>
      </w:r>
      <w:r>
        <w:t xml:space="preserve"> </w:t>
      </w:r>
      <w:r>
        <w:t xml:space="preserve">into something a compliance officer can act on. Meera cannot fix a complaint that says the app is bad. She can fix one that says:</w:t>
      </w:r>
      <w:r>
        <w:t xml:space="preserve"> </w:t>
      </w:r>
      <w:r>
        <w:rPr>
          <w:i/>
          <w:iCs/>
        </w:rPr>
        <w:t xml:space="preserve">on this page, at this URL, on 14 September, pressing Tab six times reached a button that my screen reader announced only as</w:t>
      </w:r>
      <w:r>
        <w:rPr>
          <w:i/>
          <w:iCs/>
        </w:rPr>
        <w:t xml:space="preserve"> </w:t>
      </w:r>
      <w:r>
        <w:rPr>
          <w:i/>
          <w:iCs/>
        </w:rPr>
        <w:t xml:space="preserve">“button”</w:t>
      </w:r>
      <w:r>
        <w:rPr>
          <w:i/>
          <w:iCs/>
        </w:rPr>
        <w:t xml:space="preserve">.</w:t>
      </w:r>
    </w:p>
    <w:bookmarkEnd w:id="58"/>
    <w:bookmarkStart w:id="59" w:name="chapter-summary-5"/>
    <w:p>
      <w:pPr>
        <w:pStyle w:val="Heading2"/>
      </w:pPr>
      <w:r>
        <w:t xml:space="preserve">Chapter summary</w:t>
      </w:r>
    </w:p>
    <w:p>
      <w:pPr>
        <w:pStyle w:val="Compact"/>
        <w:numPr>
          <w:ilvl w:val="0"/>
          <w:numId w:val="1018"/>
        </w:numPr>
      </w:pPr>
      <w:r>
        <w:t xml:space="preserve">Six checks anyone can run: accessibility statement, nodal officer, complaint route, keyboard, zoom to 200%, and PDF text selection.</w:t>
      </w:r>
    </w:p>
    <w:p>
      <w:pPr>
        <w:pStyle w:val="Compact"/>
        <w:numPr>
          <w:ilvl w:val="0"/>
          <w:numId w:val="1018"/>
        </w:numPr>
      </w:pPr>
      <w:r>
        <w:t xml:space="preserve">An accessibility widget is not an accessibility statement and is not conformance.</w:t>
      </w:r>
    </w:p>
    <w:p>
      <w:pPr>
        <w:pStyle w:val="Compact"/>
        <w:numPr>
          <w:ilvl w:val="0"/>
          <w:numId w:val="1018"/>
        </w:numPr>
      </w:pPr>
      <w:r>
        <w:t xml:space="preserve">Keyboard traps and horizontal scrolling at 200% zoom are specific, serious failures.</w:t>
      </w:r>
    </w:p>
    <w:p>
      <w:pPr>
        <w:pStyle w:val="Compact"/>
        <w:numPr>
          <w:ilvl w:val="0"/>
          <w:numId w:val="1018"/>
        </w:numPr>
      </w:pPr>
      <w:r>
        <w:t xml:space="preserve">A precise record — URL, steps, date, what was announced — is what makes a complaint actionable.</w:t>
      </w:r>
    </w:p>
    <w:bookmarkEnd w:id="59"/>
    <w:bookmarkStart w:id="60" w:name="checkpoint-5"/>
    <w:p>
      <w:pPr>
        <w:pStyle w:val="Heading2"/>
      </w:pPr>
      <w:r>
        <w:t xml:space="preserve">Checkpoint</w:t>
      </w:r>
    </w:p>
    <w:p>
      <w:pPr>
        <w:pStyle w:val="Compact"/>
        <w:numPr>
          <w:ilvl w:val="0"/>
          <w:numId w:val="1019"/>
        </w:numPr>
      </w:pPr>
      <w:r>
        <w:t xml:space="preserve">What is the difference between an accessibility statement and an accessibility widget?</w:t>
      </w:r>
    </w:p>
    <w:p>
      <w:pPr>
        <w:pStyle w:val="Compact"/>
        <w:numPr>
          <w:ilvl w:val="0"/>
          <w:numId w:val="1019"/>
        </w:numPr>
      </w:pPr>
      <w:r>
        <w:t xml:space="preserve">What does the</w:t>
      </w:r>
      <w:r>
        <w:t xml:space="preserve"> </w:t>
      </w:r>
      <w:r>
        <w:rPr>
          <w:rStyle w:val="VerbatimChar"/>
        </w:rPr>
        <w:t xml:space="preserve">Tab</w:t>
      </w:r>
      <w:r>
        <w:t xml:space="preserve"> </w:t>
      </w:r>
      <w:r>
        <w:t xml:space="preserve">key test tell you?</w:t>
      </w:r>
    </w:p>
    <w:p>
      <w:pPr>
        <w:pStyle w:val="Compact"/>
        <w:numPr>
          <w:ilvl w:val="0"/>
          <w:numId w:val="1019"/>
        </w:numPr>
      </w:pPr>
      <w:r>
        <w:t xml:space="preserve">Why does it matter whether you can select the text in a PDF?</w:t>
      </w:r>
    </w:p>
    <w:p>
      <w:r>
        <w:pict>
          <v:rect style="width:0;height:1.5pt" o:hralign="center" o:hrstd="t" o:hr="t"/>
        </w:pict>
      </w:r>
    </w:p>
    <w:bookmarkEnd w:id="60"/>
    <w:bookmarkEnd w:id="61"/>
    <w:bookmarkStart w:id="70" w:name="X5cf88f869e933e26306021600d86c07422519e8"/>
    <w:p>
      <w:pPr>
        <w:pStyle w:val="Heading1"/>
      </w:pPr>
      <w:r>
        <w:t xml:space="preserve">Chapter 7 — What to do when it does not work</w:t>
      </w:r>
    </w:p>
    <w:p>
      <w:pPr>
        <w:pStyle w:val="FirstParagraph"/>
      </w:pPr>
      <w:r>
        <w:t xml:space="preserve">You have hit a barrier. Here is the escalation, in order. Do not skip steps — each one creates a record that strengthens the next.</w:t>
      </w:r>
    </w:p>
    <w:bookmarkStart w:id="62" w:name="step-1-complain-to-the-firm-in-writing"/>
    <w:p>
      <w:pPr>
        <w:pStyle w:val="Heading2"/>
      </w:pPr>
      <w:r>
        <w:t xml:space="preserve">Step 1 — Complain to the firm, in writing</w:t>
      </w:r>
    </w:p>
    <w:p>
      <w:pPr>
        <w:pStyle w:val="FirstParagraph"/>
      </w:pPr>
      <w:r>
        <w:t xml:space="preserve">Email, not phone. You want a record and a timestamp.</w:t>
      </w:r>
    </w:p>
    <w:p>
      <w:pPr>
        <w:pStyle w:val="BodyText"/>
      </w:pPr>
      <w:r>
        <w:t xml:space="preserve">Send it to the Nodal Officer for digital accessibility if you found one in Chapter 6. If not, send it to the grievance officer and say in the first line that this is an accessibility complaint under SEBI’s digital accessibility circulars.</w:t>
      </w:r>
    </w:p>
    <w:p>
      <w:pPr>
        <w:pStyle w:val="BodyText"/>
      </w:pPr>
      <w:r>
        <w:t xml:space="preserve">Include:</w:t>
      </w:r>
    </w:p>
    <w:p>
      <w:pPr>
        <w:pStyle w:val="Compact"/>
        <w:numPr>
          <w:ilvl w:val="0"/>
          <w:numId w:val="1020"/>
        </w:numPr>
      </w:pPr>
      <w:r>
        <w:t xml:space="preserve">what you were trying to do (open an account, place an order, download a statement)</w:t>
      </w:r>
    </w:p>
    <w:p>
      <w:pPr>
        <w:pStyle w:val="Compact"/>
        <w:numPr>
          <w:ilvl w:val="0"/>
          <w:numId w:val="1020"/>
        </w:numPr>
      </w:pPr>
      <w:r>
        <w:t xml:space="preserve">the exact page or screen</w:t>
      </w:r>
    </w:p>
    <w:p>
      <w:pPr>
        <w:pStyle w:val="Compact"/>
        <w:numPr>
          <w:ilvl w:val="0"/>
          <w:numId w:val="1020"/>
        </w:numPr>
      </w:pPr>
      <w:r>
        <w:t xml:space="preserve">the assistive technology you use, with its version if you know it —</w:t>
      </w:r>
      <w:r>
        <w:t xml:space="preserve"> </w:t>
      </w:r>
      <w:r>
        <w:t xml:space="preserve">“NVDA 2025.1 in Firefox”</w:t>
      </w:r>
      <w:r>
        <w:t xml:space="preserve">,</w:t>
      </w:r>
      <w:r>
        <w:t xml:space="preserve"> </w:t>
      </w:r>
      <w:r>
        <w:t xml:space="preserve">“VoiceOver on iOS 18”</w:t>
      </w:r>
      <w:r>
        <w:t xml:space="preserve">,</w:t>
      </w:r>
      <w:r>
        <w:t xml:space="preserve"> </w:t>
      </w:r>
      <w:r>
        <w:t xml:space="preserve">“TalkBack on Android 15”</w:t>
      </w:r>
    </w:p>
    <w:p>
      <w:pPr>
        <w:pStyle w:val="Compact"/>
        <w:numPr>
          <w:ilvl w:val="0"/>
          <w:numId w:val="1020"/>
        </w:numPr>
      </w:pPr>
      <w:r>
        <w:t xml:space="preserve">what happened, and what should have happened</w:t>
      </w:r>
    </w:p>
    <w:p>
      <w:pPr>
        <w:pStyle w:val="Compact"/>
        <w:numPr>
          <w:ilvl w:val="0"/>
          <w:numId w:val="1020"/>
        </w:numPr>
      </w:pPr>
      <w:r>
        <w:t xml:space="preserve">the date and time</w:t>
      </w:r>
    </w:p>
    <w:p>
      <w:pPr>
        <w:pStyle w:val="FirstParagraph"/>
      </w:pPr>
      <w:r>
        <w:t xml:space="preserve">Ask for two things: that the barrier be fixed, and that you be told when it has been.</w:t>
      </w:r>
    </w:p>
    <w:p>
      <w:pPr>
        <w:pStyle w:val="BodyText"/>
      </w:pPr>
      <w:r>
        <w:t xml:space="preserve">Keep the email. You will need it.</w:t>
      </w:r>
    </w:p>
    <w:bookmarkEnd w:id="62"/>
    <w:bookmarkStart w:id="63" w:name="step-2-escalate-inside-the-firm"/>
    <w:p>
      <w:pPr>
        <w:pStyle w:val="Heading2"/>
      </w:pPr>
      <w:r>
        <w:t xml:space="preserve">Step 2 — Escalate inside the firm</w:t>
      </w:r>
    </w:p>
    <w:p>
      <w:pPr>
        <w:pStyle w:val="FirstParagraph"/>
      </w:pPr>
      <w:r>
        <w:t xml:space="preserve">If nothing useful comes back within a reasonable time — the firm’s own grievance policy will state its timeline — escalate. Every Regulated Entity must have an escalation matrix, usually published on the grievance page, listing who is next above the grievance officer.</w:t>
      </w:r>
    </w:p>
    <w:p>
      <w:pPr>
        <w:pStyle w:val="BodyText"/>
      </w:pPr>
      <w:r>
        <w:t xml:space="preserve">Reply to your own original email so the whole history travels with it.</w:t>
      </w:r>
    </w:p>
    <w:bookmarkEnd w:id="63"/>
    <w:bookmarkStart w:id="64" w:name="step-3-scores"/>
    <w:p>
      <w:pPr>
        <w:pStyle w:val="Heading2"/>
      </w:pPr>
      <w:r>
        <w:t xml:space="preserve">Step 3 — SCORES</w:t>
      </w:r>
    </w:p>
    <w:p>
      <w:pPr>
        <w:pStyle w:val="FirstParagraph"/>
      </w:pPr>
      <w:r>
        <w:rPr>
          <w:b/>
          <w:bCs/>
        </w:rPr>
        <w:t xml:space="preserve">SCORES</w:t>
      </w:r>
      <w:r>
        <w:t xml:space="preserve"> </w:t>
      </w:r>
      <w:r>
        <w:t xml:space="preserve">is SEBI’s official investor complaint platform. It is free, it is online, and complaints lodged there go on SEBI’s record.</w:t>
      </w:r>
    </w:p>
    <w:p>
      <w:pPr>
        <w:pStyle w:val="BodyText"/>
      </w:pPr>
      <w:r>
        <w:t xml:space="preserve">There is a complaint category for</w:t>
      </w:r>
      <w:r>
        <w:t xml:space="preserve"> </w:t>
      </w:r>
      <w:r>
        <w:rPr>
          <w:b/>
          <w:bCs/>
        </w:rPr>
        <w:t xml:space="preserve">Accessibility</w:t>
      </w:r>
      <w:r>
        <w:t xml:space="preserve">. This is the mechanism the December 2025 clarification created, and it is the single most useful thing in this guide.</w:t>
      </w:r>
    </w:p>
    <w:p>
      <w:pPr>
        <w:pStyle w:val="BodyText"/>
      </w:pPr>
      <w:r>
        <w:t xml:space="preserve">Two features matter.</w:t>
      </w:r>
    </w:p>
    <w:p>
      <w:pPr>
        <w:pStyle w:val="BodyText"/>
      </w:pPr>
      <w:r>
        <w:t xml:space="preserve">First, the firm must respond to SEBI, not merely to you.</w:t>
      </w:r>
    </w:p>
    <w:p>
      <w:pPr>
        <w:pStyle w:val="BodyText"/>
      </w:pPr>
      <w:r>
        <w:t xml:space="preserve">Second — and this is the important one —</w:t>
      </w:r>
      <w:r>
        <w:t xml:space="preserve"> </w:t>
      </w:r>
      <w:r>
        <w:rPr>
          <w:b/>
          <w:bCs/>
        </w:rPr>
        <w:t xml:space="preserve">the firm must actually remediate the accessibility issue for the complaint to be closed.</w:t>
      </w:r>
      <w:r>
        <w:t xml:space="preserve"> </w:t>
      </w:r>
      <w:r>
        <w:t xml:space="preserve">An explanation is not a resolution. The barrier has to go.</w:t>
      </w:r>
    </w:p>
    <w:p>
      <w:pPr>
        <w:pStyle w:val="BodyText"/>
      </w:pPr>
      <w:r>
        <w:t xml:space="preserve">You will normally be expected to have complained to the firm first, which is why Step 1 matters. Have your original email and its date ready.</w:t>
      </w:r>
    </w:p>
    <w:p>
      <w:pPr>
        <w:pStyle w:val="SourceCode"/>
      </w:pPr>
      <w:r>
        <w:rPr>
          <w:rStyle w:val="VerbatimChar"/>
        </w:rPr>
        <w:t xml:space="preserve">    Step 1  ──►  Broker's accessibility / grievance officer</w:t>
      </w:r>
      <w:r>
        <w:br/>
      </w:r>
      <w:r>
        <w:rPr>
          <w:rStyle w:val="VerbatimChar"/>
        </w:rPr>
        <w:t xml:space="preserve">                        │ no adequate response</w:t>
      </w:r>
      <w:r>
        <w:br/>
      </w:r>
      <w:r>
        <w:rPr>
          <w:rStyle w:val="VerbatimChar"/>
        </w:rPr>
        <w:t xml:space="preserve">                        ▼</w:t>
      </w:r>
      <w:r>
        <w:br/>
      </w:r>
      <w:r>
        <w:rPr>
          <w:rStyle w:val="VerbatimChar"/>
        </w:rPr>
        <w:t xml:space="preserve">    Step 2  ──►  Escalation matrix, one level up</w:t>
      </w:r>
      <w:r>
        <w:br/>
      </w:r>
      <w:r>
        <w:rPr>
          <w:rStyle w:val="VerbatimChar"/>
        </w:rPr>
        <w:t xml:space="preserve">                        │ still nothing</w:t>
      </w:r>
      <w:r>
        <w:br/>
      </w:r>
      <w:r>
        <w:rPr>
          <w:rStyle w:val="VerbatimChar"/>
        </w:rPr>
        <w:t xml:space="preserve">                        ▼</w:t>
      </w:r>
      <w:r>
        <w:br/>
      </w:r>
      <w:r>
        <w:rPr>
          <w:rStyle w:val="VerbatimChar"/>
        </w:rPr>
        <w:t xml:space="preserve">    Step 3  ──►  SCORES, category: Accessibility</w:t>
      </w:r>
      <w:r>
        <w:br/>
      </w:r>
      <w:r>
        <w:rPr>
          <w:rStyle w:val="VerbatimChar"/>
        </w:rPr>
        <w:t xml:space="preserve">                        │ firm must FIX, not merely reply</w:t>
      </w:r>
      <w:r>
        <w:br/>
      </w:r>
      <w:r>
        <w:rPr>
          <w:rStyle w:val="VerbatimChar"/>
        </w:rPr>
        <w:t xml:space="preserve">                        ▼</w:t>
      </w:r>
      <w:r>
        <w:br/>
      </w:r>
      <w:r>
        <w:rPr>
          <w:rStyle w:val="VerbatimChar"/>
        </w:rPr>
        <w:t xml:space="preserve">    Step 4  ──►  Smart ODR (dispute resolution), if applicable</w:t>
      </w:r>
    </w:p>
    <w:bookmarkEnd w:id="64"/>
    <w:bookmarkStart w:id="65" w:name="step-4-smart-odr"/>
    <w:p>
      <w:pPr>
        <w:pStyle w:val="Heading2"/>
      </w:pPr>
      <w:r>
        <w:t xml:space="preserve">Step 4 — Smart ODR</w:t>
      </w:r>
    </w:p>
    <w:p>
      <w:pPr>
        <w:pStyle w:val="FirstParagraph"/>
      </w:pPr>
      <w:r>
        <w:t xml:space="preserve">For certain disputes there is</w:t>
      </w:r>
      <w:r>
        <w:t xml:space="preserve"> </w:t>
      </w:r>
      <w:r>
        <w:rPr>
          <w:b/>
          <w:bCs/>
        </w:rPr>
        <w:t xml:space="preserve">Smart ODR</w:t>
      </w:r>
      <w:r>
        <w:t xml:space="preserve">, SEBI’s online dispute resolution platform, which offers conciliation and arbitration. It is designed mainly for disputes about money — a trade gone wrong, funds not received — rather than about accessibility as such. It may or may not fit your situation. SCORES is the primary route for an accessibility barrier.</w:t>
      </w:r>
    </w:p>
    <w:bookmarkEnd w:id="65"/>
    <w:bookmarkStart w:id="66" w:name="step-5-beyond-sebi"/>
    <w:p>
      <w:pPr>
        <w:pStyle w:val="Heading2"/>
      </w:pPr>
      <w:r>
        <w:t xml:space="preserve">Step 5 — Beyond SEBI</w:t>
      </w:r>
    </w:p>
    <w:p>
      <w:pPr>
        <w:pStyle w:val="FirstParagraph"/>
      </w:pPr>
      <w:r>
        <w:t xml:space="preserve">Two further routes exist, and they are not alternatives to SCORES but additions.</w:t>
      </w:r>
    </w:p>
    <w:p>
      <w:pPr>
        <w:pStyle w:val="BodyText"/>
      </w:pPr>
      <w:r>
        <w:t xml:space="preserve">The</w:t>
      </w:r>
      <w:r>
        <w:t xml:space="preserve"> </w:t>
      </w:r>
      <w:r>
        <w:rPr>
          <w:b/>
          <w:bCs/>
        </w:rPr>
        <w:t xml:space="preserve">Chief Commissioner for Persons with Disabilities</w:t>
      </w:r>
      <w:r>
        <w:t xml:space="preserve">, under the RPwD Act, hears complaints about deprivation of rights under that Act. State Commissioners exist too.</w:t>
      </w:r>
    </w:p>
    <w:p>
      <w:pPr>
        <w:pStyle w:val="BodyText"/>
      </w:pPr>
      <w:r>
        <w:t xml:space="preserve">And the courts remain open. The Supreme Court judgment of April 2025 came from precisely such a petition, brought by people in Kavya’s position.</w:t>
      </w:r>
    </w:p>
    <w:bookmarkEnd w:id="66"/>
    <w:bookmarkStart w:id="67" w:name="what-kavya-did"/>
    <w:p>
      <w:pPr>
        <w:pStyle w:val="Heading2"/>
      </w:pPr>
      <w:r>
        <w:t xml:space="preserve">What Kavya did</w:t>
      </w:r>
    </w:p>
    <w:p>
      <w:pPr>
        <w:pStyle w:val="FirstParagraph"/>
      </w:pPr>
      <w:r>
        <w:t xml:space="preserve">Kavya wrote to her broker on a Tuesday, describing the four failed video-KYC attempts, naming TalkBack and her phone model, and giving the times. She got an acknowledgement and, ten days later, nothing further.</w:t>
      </w:r>
    </w:p>
    <w:p>
      <w:pPr>
        <w:pStyle w:val="BodyText"/>
      </w:pPr>
      <w:r>
        <w:t xml:space="preserve">She escalated. Two weeks passed.</w:t>
      </w:r>
    </w:p>
    <w:p>
      <w:pPr>
        <w:pStyle w:val="BodyText"/>
      </w:pPr>
      <w:r>
        <w:t xml:space="preserve">She filed on SCORES under Accessibility, attached her original email, and described the barrier in the same precise terms.</w:t>
      </w:r>
    </w:p>
    <w:p>
      <w:pPr>
        <w:pStyle w:val="BodyText"/>
      </w:pPr>
      <w:r>
        <w:t xml:space="preserve">She does not yet know how it will end. But there is now a record, on the regulator’s own system, that a blind investor could not open an account with that firm — and the firm cannot close it by explaining. It has to fix it.</w:t>
      </w:r>
    </w:p>
    <w:p>
      <w:pPr>
        <w:pStyle w:val="BodyText"/>
      </w:pPr>
      <w:r>
        <w:t xml:space="preserve">That record is worth more than the account.</w:t>
      </w:r>
    </w:p>
    <w:bookmarkEnd w:id="67"/>
    <w:bookmarkStart w:id="68" w:name="chapter-summary-6"/>
    <w:p>
      <w:pPr>
        <w:pStyle w:val="Heading2"/>
      </w:pPr>
      <w:r>
        <w:t xml:space="preserve">Chapter summary</w:t>
      </w:r>
    </w:p>
    <w:p>
      <w:pPr>
        <w:pStyle w:val="Compact"/>
        <w:numPr>
          <w:ilvl w:val="0"/>
          <w:numId w:val="1021"/>
        </w:numPr>
      </w:pPr>
      <w:r>
        <w:t xml:space="preserve">Complain to the firm in writing first; keep the email.</w:t>
      </w:r>
    </w:p>
    <w:p>
      <w:pPr>
        <w:pStyle w:val="Compact"/>
        <w:numPr>
          <w:ilvl w:val="0"/>
          <w:numId w:val="1021"/>
        </w:numPr>
      </w:pPr>
      <w:r>
        <w:t xml:space="preserve">Escalate internally using the firm’s published escalation matrix.</w:t>
      </w:r>
    </w:p>
    <w:p>
      <w:pPr>
        <w:pStyle w:val="Compact"/>
        <w:numPr>
          <w:ilvl w:val="0"/>
          <w:numId w:val="1021"/>
        </w:numPr>
      </w:pPr>
      <w:r>
        <w:t xml:space="preserve">Then SCORES, category Accessibility — the firm must remediate to close it, not merely reply.</w:t>
      </w:r>
    </w:p>
    <w:p>
      <w:pPr>
        <w:pStyle w:val="Compact"/>
        <w:numPr>
          <w:ilvl w:val="0"/>
          <w:numId w:val="1021"/>
        </w:numPr>
      </w:pPr>
      <w:r>
        <w:t xml:space="preserve">Smart ODR is mainly for monetary disputes; SCORES is the accessibility route.</w:t>
      </w:r>
    </w:p>
    <w:p>
      <w:pPr>
        <w:pStyle w:val="Compact"/>
        <w:numPr>
          <w:ilvl w:val="0"/>
          <w:numId w:val="1021"/>
        </w:numPr>
      </w:pPr>
      <w:r>
        <w:t xml:space="preserve">The Chief Commissioner for Persons with Disabilities and the courts remain available.</w:t>
      </w:r>
    </w:p>
    <w:bookmarkEnd w:id="68"/>
    <w:bookmarkStart w:id="69" w:name="checkpoint-6"/>
    <w:p>
      <w:pPr>
        <w:pStyle w:val="Heading2"/>
      </w:pPr>
      <w:r>
        <w:t xml:space="preserve">Checkpoint</w:t>
      </w:r>
    </w:p>
    <w:p>
      <w:pPr>
        <w:pStyle w:val="Compact"/>
        <w:numPr>
          <w:ilvl w:val="0"/>
          <w:numId w:val="1022"/>
        </w:numPr>
      </w:pPr>
      <w:r>
        <w:t xml:space="preserve">Why complain by email rather than by phone?</w:t>
      </w:r>
    </w:p>
    <w:p>
      <w:pPr>
        <w:pStyle w:val="Compact"/>
        <w:numPr>
          <w:ilvl w:val="0"/>
          <w:numId w:val="1022"/>
        </w:numPr>
      </w:pPr>
      <w:r>
        <w:t xml:space="preserve">What makes the SCORES Accessibility category different from an ordinary complaint?</w:t>
      </w:r>
    </w:p>
    <w:p>
      <w:pPr>
        <w:pStyle w:val="Compact"/>
        <w:numPr>
          <w:ilvl w:val="0"/>
          <w:numId w:val="1022"/>
        </w:numPr>
      </w:pPr>
      <w:r>
        <w:t xml:space="preserve">What three technical details should your complaint always include?</w:t>
      </w:r>
    </w:p>
    <w:p>
      <w:r>
        <w:pict>
          <v:rect style="width:0;height:1.5pt" o:hralign="center" o:hrstd="t" o:hr="t"/>
        </w:pict>
      </w:r>
    </w:p>
    <w:bookmarkEnd w:id="69"/>
    <w:bookmarkEnd w:id="70"/>
    <w:bookmarkStart w:id="71" w:name="chapter-8-six-things-people-get-wrong"/>
    <w:p>
      <w:pPr>
        <w:pStyle w:val="Heading1"/>
      </w:pPr>
      <w:r>
        <w:t xml:space="preserve">Chapter 8 — Six things people get wrong</w:t>
      </w:r>
    </w:p>
    <w:p>
      <w:pPr>
        <w:pStyle w:val="FirstParagraph"/>
      </w:pPr>
      <w:r>
        <w:rPr>
          <w:b/>
          <w:bCs/>
        </w:rPr>
        <w:t xml:space="preserve">“This is a niche issue.”</w:t>
      </w:r>
      <w:r>
        <w:t xml:space="preserve"> </w:t>
      </w:r>
      <w:r>
        <w:t xml:space="preserve">Roughly one in six people worldwide lives with a significant disability. In India that is more than a hundred million people. Add temporary injury, add ageing eyes, add bright sunlight and a noisy train, and the boundary of</w:t>
      </w:r>
      <w:r>
        <w:t xml:space="preserve"> </w:t>
      </w:r>
      <w:r>
        <w:t xml:space="preserve">“niche”</w:t>
      </w:r>
      <w:r>
        <w:t xml:space="preserve"> </w:t>
      </w:r>
      <w:r>
        <w:t xml:space="preserve">moves considerably.</w:t>
      </w:r>
    </w:p>
    <w:p>
      <w:pPr>
        <w:pStyle w:val="BodyText"/>
      </w:pPr>
      <w:r>
        <w:rPr>
          <w:b/>
          <w:bCs/>
        </w:rPr>
        <w:t xml:space="preserve">“The app looks fine, so it must be accessible.”</w:t>
      </w:r>
      <w:r>
        <w:t xml:space="preserve"> </w:t>
      </w:r>
      <w:r>
        <w:t xml:space="preserve">Chapter 2 was mostly about why this is false. An accessible page and an inaccessible page can look identical, because the structure a screen reader needs is invisible to the eye. This is exactly why the circular requires testing with real disabled users rather than inspection.</w:t>
      </w:r>
    </w:p>
    <w:p>
      <w:pPr>
        <w:pStyle w:val="BodyText"/>
      </w:pPr>
      <w:r>
        <w:rPr>
          <w:b/>
          <w:bCs/>
        </w:rPr>
        <w:t xml:space="preserve">“They have an accessibility widget, so they are covered.”</w:t>
      </w:r>
      <w:r>
        <w:t xml:space="preserve"> </w:t>
      </w:r>
      <w:r>
        <w:t xml:space="preserve">A widget that changes font size and contrast sits on top of the page. It cannot give a button a name it never had, or make an error message announce itself. Some widgets even interfere with the screen reader already running. A widget is not conformance and is not what the circular asks for.</w:t>
      </w:r>
    </w:p>
    <w:p>
      <w:pPr>
        <w:pStyle w:val="BodyText"/>
      </w:pPr>
      <w:r>
        <w:rPr>
          <w:b/>
          <w:bCs/>
        </w:rPr>
        <w:t xml:space="preserve">“An automated scan passed, so it is compliant.”</w:t>
      </w:r>
      <w:r>
        <w:t xml:space="preserve"> </w:t>
      </w:r>
      <w:r>
        <w:t xml:space="preserve">Automated tools are useful and they catch only a minority of accessibility problems. They can tell you an image has no description. They cannot tell you the description says</w:t>
      </w:r>
      <w:r>
        <w:t xml:space="preserve"> </w:t>
      </w:r>
      <w:r>
        <w:t xml:space="preserve">“image1.png”</w:t>
      </w:r>
      <w:r>
        <w:t xml:space="preserve">. They cannot tell you whether a person can actually open an account. The circular’s requirement for usability testing by persons with disabilities exists precisely because scanning is not enough.</w:t>
      </w:r>
    </w:p>
    <w:p>
      <w:pPr>
        <w:pStyle w:val="BodyText"/>
      </w:pPr>
      <w:r>
        <w:rPr>
          <w:b/>
          <w:bCs/>
        </w:rPr>
        <w:t xml:space="preserve">“My family member can help me, so it is fine.”</w:t>
      </w:r>
      <w:r>
        <w:t xml:space="preserve"> </w:t>
      </w:r>
      <w:r>
        <w:t xml:space="preserve">This was Arjun’s mistake in Chapter 1. It costs privacy, speed, and independence, and none of those is a small thing. The standard in the rules is independent use.</w:t>
      </w:r>
    </w:p>
    <w:p>
      <w:pPr>
        <w:pStyle w:val="BodyText"/>
      </w:pPr>
      <w:r>
        <w:rPr>
          <w:b/>
          <w:bCs/>
        </w:rPr>
        <w:t xml:space="preserve">“The deadline has passed, so it must be done by now.”</w:t>
      </w:r>
      <w:r>
        <w:t xml:space="preserve"> </w:t>
      </w:r>
      <w:r>
        <w:t xml:space="preserve">The deadline is 31 October 2026, and it has already moved twice — from 31 January 2026, to 31 July 2026, to 31 October 2026. Extensions were granted because firms asked for them. Whether the work is done is, as Chapter 5 explained, not something you can currently find out.</w:t>
      </w:r>
    </w:p>
    <w:p>
      <w:r>
        <w:pict>
          <v:rect style="width:0;height:1.5pt" o:hralign="center" o:hrstd="t" o:hr="t"/>
        </w:pict>
      </w:r>
    </w:p>
    <w:bookmarkEnd w:id="71"/>
    <w:bookmarkStart w:id="72" w:name="frequently-asked-questions"/>
    <w:p>
      <w:pPr>
        <w:pStyle w:val="Heading1"/>
      </w:pPr>
      <w:r>
        <w:t xml:space="preserve">Frequently asked questions</w:t>
      </w:r>
    </w:p>
    <w:p>
      <w:pPr>
        <w:pStyle w:val="FirstParagraph"/>
      </w:pPr>
      <w:r>
        <w:rPr>
          <w:b/>
          <w:bCs/>
        </w:rPr>
        <w:t xml:space="preserve">Does this apply to my broker, or only to big ones?</w:t>
      </w:r>
      <w:r>
        <w:t xml:space="preserve"> </w:t>
      </w:r>
      <w:r>
        <w:t xml:space="preserve">To all Regulated Entities. The circular makes no exemption for size. A one-person investment adviser and the National Stock Exchange are both covered, though what is proportionate for each differs.</w:t>
      </w:r>
    </w:p>
    <w:p>
      <w:pPr>
        <w:pStyle w:val="BodyText"/>
      </w:pPr>
      <w:r>
        <w:rPr>
          <w:b/>
          <w:bCs/>
        </w:rPr>
        <w:t xml:space="preserve">Does it cover mobile apps, or only websites?</w:t>
      </w:r>
      <w:r>
        <w:t xml:space="preserve"> </w:t>
      </w:r>
      <w:r>
        <w:t xml:space="preserve">Both, explicitly. Android and iOS applications are named.</w:t>
      </w:r>
    </w:p>
    <w:p>
      <w:pPr>
        <w:pStyle w:val="BodyText"/>
      </w:pPr>
      <w:r>
        <w:rPr>
          <w:b/>
          <w:bCs/>
        </w:rPr>
        <w:t xml:space="preserve">What if my broker’s platform is built by an outside vendor?</w:t>
      </w:r>
      <w:r>
        <w:t xml:space="preserve"> </w:t>
      </w:r>
      <w:r>
        <w:t xml:space="preserve">The circular anticipated this. Accessibility must be written into procurement contracts, the vendor must audit its own product, and the responsibility stays with your broker.</w:t>
      </w:r>
      <w:r>
        <w:t xml:space="preserve"> </w:t>
      </w:r>
      <w:r>
        <w:t xml:space="preserve">“Our vendor built it”</w:t>
      </w:r>
      <w:r>
        <w:t xml:space="preserve"> </w:t>
      </w:r>
      <w:r>
        <w:t xml:space="preserve">is not a defence.</w:t>
      </w:r>
    </w:p>
    <w:p>
      <w:pPr>
        <w:pStyle w:val="BodyText"/>
      </w:pPr>
      <w:r>
        <w:rPr>
          <w:b/>
          <w:bCs/>
        </w:rPr>
        <w:t xml:space="preserve">Can I be refused an account because of my disability?</w:t>
      </w:r>
      <w:r>
        <w:t xml:space="preserve"> </w:t>
      </w:r>
      <w:r>
        <w:t xml:space="preserve">No — and there is a specific protection. If your application is going to be rejected, a designated human officer must review it, and that officer is empowered to override an automated rejection.</w:t>
      </w:r>
    </w:p>
    <w:p>
      <w:pPr>
        <w:pStyle w:val="BodyText"/>
      </w:pPr>
      <w:r>
        <w:rPr>
          <w:b/>
          <w:bCs/>
        </w:rPr>
        <w:t xml:space="preserve">What if the firm says it is working on it?</w:t>
      </w:r>
      <w:r>
        <w:t xml:space="preserve"> </w:t>
      </w:r>
      <w:r>
        <w:t xml:space="preserve">That may well be true. Ask for two specifics: what the barrier is, and by when it will be fixed. A commitment with a date is meaningfully different from a commitment without one. If the barrier is stopping you from doing something today, file on SCORES anyway — the record matters.</w:t>
      </w:r>
    </w:p>
    <w:p>
      <w:pPr>
        <w:pStyle w:val="BodyText"/>
      </w:pPr>
      <w:r>
        <w:rPr>
          <w:b/>
          <w:bCs/>
        </w:rPr>
        <w:t xml:space="preserve">Is there a penalty if a firm does not comply?</w:t>
      </w:r>
      <w:r>
        <w:t xml:space="preserve"> </w:t>
      </w:r>
      <w:r>
        <w:t xml:space="preserve">The circulars themselves do not prescribe a specific penalty. They are issued under SEBI’s general powers, and SEBI has a wide range of enforcement tools. What the circulars do create is a complaint route with teeth: a SCORES accessibility complaint cannot be closed until the barrier is fixed.</w:t>
      </w:r>
    </w:p>
    <w:p>
      <w:pPr>
        <w:pStyle w:val="BodyText"/>
      </w:pPr>
      <w:r>
        <w:rPr>
          <w:b/>
          <w:bCs/>
        </w:rPr>
        <w:t xml:space="preserve">I am not disabled. Why should I care?</w:t>
      </w:r>
      <w:r>
        <w:t xml:space="preserve"> </w:t>
      </w:r>
      <w:r>
        <w:t xml:space="preserve">Three reasons. You may be one day — vision and dexterity change with age. Someone you love probably is now. And the accessibility fixes that help Kavya — clear labels, working keyboard navigation, error messages that explain themselves, documents you can search — make the product better for everyone.</w:t>
      </w:r>
    </w:p>
    <w:p>
      <w:pPr>
        <w:pStyle w:val="BodyText"/>
      </w:pPr>
      <w:r>
        <w:rPr>
          <w:b/>
          <w:bCs/>
        </w:rPr>
        <w:t xml:space="preserve">Is my data safe if I disclose a disability on the form?</w:t>
      </w:r>
      <w:r>
        <w:t xml:space="preserve"> </w:t>
      </w:r>
      <w:r>
        <w:t xml:space="preserve">The circular requires the field so that firms can offer you appropriate help. It is subject to the same data protection obligations as the rest of your KYC information. You can decline to fill it in; declining should not disadvantage you.</w:t>
      </w:r>
    </w:p>
    <w:p>
      <w:pPr>
        <w:pStyle w:val="BodyText"/>
      </w:pPr>
      <w:r>
        <w:rPr>
          <w:b/>
          <w:bCs/>
        </w:rPr>
        <w:t xml:space="preserve">Where can I read the rules myself?</w:t>
      </w:r>
      <w:r>
        <w:t xml:space="preserve"> </w:t>
      </w:r>
      <w:r>
        <w:t xml:space="preserve">On SEBI’s website, under Legal → Circulars. The main one is dated 31 July 2025 and its Annexure I contains the substance. The clarification is dated 8 December 2025 and the latest extension 31 July 2026.</w:t>
      </w:r>
    </w:p>
    <w:p>
      <w:r>
        <w:pict>
          <v:rect style="width:0;height:1.5pt" o:hralign="center" o:hrstd="t" o:hr="t"/>
        </w:pict>
      </w:r>
    </w:p>
    <w:bookmarkEnd w:id="72"/>
    <w:bookmarkStart w:id="73" w:name="glossary"/>
    <w:p>
      <w:pPr>
        <w:pStyle w:val="Heading1"/>
      </w:pPr>
      <w:r>
        <w:t xml:space="preserve">Glossary</w:t>
      </w:r>
    </w:p>
    <w:p>
      <w:pPr>
        <w:pStyle w:val="FirstParagraph"/>
      </w:pPr>
      <w:r>
        <w:rPr>
          <w:b/>
          <w:bCs/>
        </w:rPr>
        <w:t xml:space="preserve">Accessibility statement</w:t>
      </w:r>
      <w:r>
        <w:t xml:space="preserve"> </w:t>
      </w:r>
      <w:r>
        <w:t xml:space="preserve">— A published page in which an organisation states which accessibility standard it meets, at what level, how it was tested, and what does not yet work.</w:t>
      </w:r>
    </w:p>
    <w:p>
      <w:pPr>
        <w:pStyle w:val="BodyText"/>
      </w:pPr>
      <w:r>
        <w:rPr>
          <w:b/>
          <w:bCs/>
        </w:rPr>
        <w:t xml:space="preserve">Accessibility widget / overlay</w:t>
      </w:r>
      <w:r>
        <w:t xml:space="preserve"> </w:t>
      </w:r>
      <w:r>
        <w:t xml:space="preserve">— A plug-in offering font-size and contrast controls. Not a substitute for an accessible page.</w:t>
      </w:r>
    </w:p>
    <w:p>
      <w:pPr>
        <w:pStyle w:val="BodyText"/>
      </w:pPr>
      <w:r>
        <w:rPr>
          <w:b/>
          <w:bCs/>
        </w:rPr>
        <w:t xml:space="preserve">Alt text</w:t>
      </w:r>
      <w:r>
        <w:t xml:space="preserve"> </w:t>
      </w:r>
      <w:r>
        <w:t xml:space="preserve">— A written description of an image, read aloud by a screen reader.</w:t>
      </w:r>
    </w:p>
    <w:p>
      <w:pPr>
        <w:pStyle w:val="BodyText"/>
      </w:pPr>
      <w:r>
        <w:rPr>
          <w:b/>
          <w:bCs/>
        </w:rPr>
        <w:t xml:space="preserve">Article 21</w:t>
      </w:r>
      <w:r>
        <w:t xml:space="preserve"> </w:t>
      </w:r>
      <w:r>
        <w:t xml:space="preserve">— The fundamental right to life and personal liberty in the Constitution of India. The Supreme Court held in April 2025 that digital access forms part of it.</w:t>
      </w:r>
    </w:p>
    <w:p>
      <w:pPr>
        <w:pStyle w:val="BodyText"/>
      </w:pPr>
      <w:r>
        <w:rPr>
          <w:b/>
          <w:bCs/>
        </w:rPr>
        <w:t xml:space="preserve">Assistive technology (AT)</w:t>
      </w:r>
      <w:r>
        <w:t xml:space="preserve"> </w:t>
      </w:r>
      <w:r>
        <w:t xml:space="preserve">— Tools used to operate a computer when the standard way does not work: screen readers, magnifiers, switch devices, voice control.</w:t>
      </w:r>
    </w:p>
    <w:p>
      <w:pPr>
        <w:pStyle w:val="BodyText"/>
      </w:pPr>
      <w:r>
        <w:rPr>
          <w:b/>
          <w:bCs/>
        </w:rPr>
        <w:t xml:space="preserve">Circular</w:t>
      </w:r>
      <w:r>
        <w:t xml:space="preserve"> </w:t>
      </w:r>
      <w:r>
        <w:t xml:space="preserve">— A binding instruction issued by SEBI to the entities it regulates.</w:t>
      </w:r>
    </w:p>
    <w:p>
      <w:pPr>
        <w:pStyle w:val="BodyText"/>
      </w:pPr>
      <w:r>
        <w:rPr>
          <w:b/>
          <w:bCs/>
        </w:rPr>
        <w:t xml:space="preserve">Demat account</w:t>
      </w:r>
      <w:r>
        <w:t xml:space="preserve"> </w:t>
      </w:r>
      <w:r>
        <w:t xml:space="preserve">— An account holding shares and securities in electronic form.</w:t>
      </w:r>
    </w:p>
    <w:p>
      <w:pPr>
        <w:pStyle w:val="BodyText"/>
      </w:pPr>
      <w:r>
        <w:rPr>
          <w:b/>
          <w:bCs/>
        </w:rPr>
        <w:t xml:space="preserve">GIGW</w:t>
      </w:r>
      <w:r>
        <w:t xml:space="preserve"> </w:t>
      </w:r>
      <w:r>
        <w:t xml:space="preserve">— Guidelines for Indian Government Websites.</w:t>
      </w:r>
    </w:p>
    <w:p>
      <w:pPr>
        <w:pStyle w:val="BodyText"/>
      </w:pPr>
      <w:r>
        <w:rPr>
          <w:b/>
          <w:bCs/>
        </w:rPr>
        <w:t xml:space="preserve">IAAP</w:t>
      </w:r>
      <w:r>
        <w:t xml:space="preserve"> </w:t>
      </w:r>
      <w:r>
        <w:t xml:space="preserve">— The International Association of Accessibility Professionals, which certifies individual practitioners. SEBI’s circular requires audits through IAAP-certified professionals.</w:t>
      </w:r>
    </w:p>
    <w:p>
      <w:pPr>
        <w:pStyle w:val="BodyText"/>
      </w:pPr>
      <w:r>
        <w:rPr>
          <w:b/>
          <w:bCs/>
        </w:rPr>
        <w:t xml:space="preserve">Investor Charter</w:t>
      </w:r>
      <w:r>
        <w:t xml:space="preserve"> </w:t>
      </w:r>
      <w:r>
        <w:t xml:space="preserve">— A document each Regulated Entity publishes setting out its vision, your rights and responsibilities, and how to complain.</w:t>
      </w:r>
    </w:p>
    <w:p>
      <w:pPr>
        <w:pStyle w:val="BodyText"/>
      </w:pPr>
      <w:r>
        <w:rPr>
          <w:b/>
          <w:bCs/>
        </w:rPr>
        <w:t xml:space="preserve">IS 17802</w:t>
      </w:r>
      <w:r>
        <w:t xml:space="preserve"> </w:t>
      </w:r>
      <w:r>
        <w:t xml:space="preserve">— The Bureau of Indian Standards’ accessibility standard for information and communication technology.</w:t>
      </w:r>
    </w:p>
    <w:p>
      <w:pPr>
        <w:pStyle w:val="BodyText"/>
      </w:pPr>
      <w:r>
        <w:rPr>
          <w:b/>
          <w:bCs/>
        </w:rPr>
        <w:t xml:space="preserve">ISL</w:t>
      </w:r>
      <w:r>
        <w:t xml:space="preserve"> </w:t>
      </w:r>
      <w:r>
        <w:t xml:space="preserve">— Indian Sign Language.</w:t>
      </w:r>
    </w:p>
    <w:p>
      <w:pPr>
        <w:pStyle w:val="BodyText"/>
      </w:pPr>
      <w:r>
        <w:rPr>
          <w:b/>
          <w:bCs/>
        </w:rPr>
        <w:t xml:space="preserve">JAWS, NVDA, TalkBack, VoiceOver</w:t>
      </w:r>
      <w:r>
        <w:t xml:space="preserve"> </w:t>
      </w:r>
      <w:r>
        <w:t xml:space="preserve">— The common screen readers: JAWS and NVDA on Windows, VoiceOver on Apple devices, TalkBack on Android.</w:t>
      </w:r>
    </w:p>
    <w:p>
      <w:pPr>
        <w:pStyle w:val="BodyText"/>
      </w:pPr>
      <w:r>
        <w:rPr>
          <w:b/>
          <w:bCs/>
        </w:rPr>
        <w:t xml:space="preserve">Keyboard trap</w:t>
      </w:r>
      <w:r>
        <w:t xml:space="preserve"> </w:t>
      </w:r>
      <w:r>
        <w:t xml:space="preserve">— A control you can move into with the keyboard but not out of. A serious accessibility failure.</w:t>
      </w:r>
    </w:p>
    <w:p>
      <w:pPr>
        <w:pStyle w:val="BodyText"/>
      </w:pPr>
      <w:r>
        <w:rPr>
          <w:b/>
          <w:bCs/>
        </w:rPr>
        <w:t xml:space="preserve">KYC</w:t>
      </w:r>
      <w:r>
        <w:t xml:space="preserve"> </w:t>
      </w:r>
      <w:r>
        <w:t xml:space="preserve">— Know Your Customer: the identity verification a financial firm must perform before opening your account.</w:t>
      </w:r>
    </w:p>
    <w:p>
      <w:pPr>
        <w:pStyle w:val="BodyText"/>
      </w:pPr>
      <w:r>
        <w:rPr>
          <w:b/>
          <w:bCs/>
        </w:rPr>
        <w:t xml:space="preserve">Nodal Officer</w:t>
      </w:r>
      <w:r>
        <w:t xml:space="preserve"> </w:t>
      </w:r>
      <w:r>
        <w:t xml:space="preserve">— The senior employee a Regulated Entity must designate to own digital accessibility compliance, coordinate audits and handle complaints.</w:t>
      </w:r>
    </w:p>
    <w:p>
      <w:pPr>
        <w:pStyle w:val="BodyText"/>
      </w:pPr>
      <w:r>
        <w:rPr>
          <w:b/>
          <w:bCs/>
        </w:rPr>
        <w:t xml:space="preserve">Regulated Entity (RE)</w:t>
      </w:r>
      <w:r>
        <w:t xml:space="preserve"> </w:t>
      </w:r>
      <w:r>
        <w:t xml:space="preserve">— Any firm SEBI registers or recognises: brokers, depositories, mutual funds, advisers, registrars, exchanges and more.</w:t>
      </w:r>
    </w:p>
    <w:p>
      <w:pPr>
        <w:pStyle w:val="BodyText"/>
      </w:pPr>
      <w:r>
        <w:rPr>
          <w:b/>
          <w:bCs/>
        </w:rPr>
        <w:t xml:space="preserve">Remediation</w:t>
      </w:r>
      <w:r>
        <w:t xml:space="preserve"> </w:t>
      </w:r>
      <w:r>
        <w:t xml:space="preserve">— Fixing the problems an audit found.</w:t>
      </w:r>
    </w:p>
    <w:p>
      <w:pPr>
        <w:pStyle w:val="BodyText"/>
      </w:pPr>
      <w:r>
        <w:rPr>
          <w:b/>
          <w:bCs/>
        </w:rPr>
        <w:t xml:space="preserve">RPwD Act, 2016</w:t>
      </w:r>
      <w:r>
        <w:t xml:space="preserve"> </w:t>
      </w:r>
      <w:r>
        <w:t xml:space="preserve">— The Rights of Persons with Disabilities Act, India’s principal disability legislation.</w:t>
      </w:r>
    </w:p>
    <w:p>
      <w:pPr>
        <w:pStyle w:val="BodyText"/>
      </w:pPr>
      <w:r>
        <w:rPr>
          <w:b/>
          <w:bCs/>
        </w:rPr>
        <w:t xml:space="preserve">SCORES</w:t>
      </w:r>
      <w:r>
        <w:t xml:space="preserve"> </w:t>
      </w:r>
      <w:r>
        <w:t xml:space="preserve">— SEBI’s online investor complaint platform. It carries a complaint category for Accessibility.</w:t>
      </w:r>
    </w:p>
    <w:p>
      <w:pPr>
        <w:pStyle w:val="BodyText"/>
      </w:pPr>
      <w:r>
        <w:rPr>
          <w:b/>
          <w:bCs/>
        </w:rPr>
        <w:t xml:space="preserve">Screen reader</w:t>
      </w:r>
      <w:r>
        <w:t xml:space="preserve"> </w:t>
      </w:r>
      <w:r>
        <w:t xml:space="preserve">— Software that converts what is on a screen into speech or braille.</w:t>
      </w:r>
    </w:p>
    <w:p>
      <w:pPr>
        <w:pStyle w:val="BodyText"/>
      </w:pPr>
      <w:r>
        <w:rPr>
          <w:b/>
          <w:bCs/>
        </w:rPr>
        <w:t xml:space="preserve">SEBI</w:t>
      </w:r>
      <w:r>
        <w:t xml:space="preserve"> </w:t>
      </w:r>
      <w:r>
        <w:t xml:space="preserve">— The Securities and Exchange Board of India, the securities market regulator.</w:t>
      </w:r>
    </w:p>
    <w:p>
      <w:pPr>
        <w:pStyle w:val="BodyText"/>
      </w:pPr>
      <w:r>
        <w:rPr>
          <w:b/>
          <w:bCs/>
        </w:rPr>
        <w:t xml:space="preserve">Smart ODR</w:t>
      </w:r>
      <w:r>
        <w:t xml:space="preserve"> </w:t>
      </w:r>
      <w:r>
        <w:t xml:space="preserve">— SEBI’s online dispute resolution platform, used mainly for monetary disputes.</w:t>
      </w:r>
    </w:p>
    <w:p>
      <w:pPr>
        <w:pStyle w:val="BodyText"/>
      </w:pPr>
      <w:r>
        <w:rPr>
          <w:b/>
          <w:bCs/>
        </w:rPr>
        <w:t xml:space="preserve">WCAG</w:t>
      </w:r>
      <w:r>
        <w:t xml:space="preserve"> </w:t>
      </w:r>
      <w:r>
        <w:t xml:space="preserve">— Web Content Accessibility Guidelines, the international standard. Version 2.1 is the one SEBI names.</w:t>
      </w:r>
      <w:r>
        <w:t xml:space="preserve"> </w:t>
      </w:r>
      <w:r>
        <w:t xml:space="preserve">“Level AA”</w:t>
      </w:r>
      <w:r>
        <w:t xml:space="preserve"> </w:t>
      </w:r>
      <w:r>
        <w:t xml:space="preserve">is the conformance level normally required.</w:t>
      </w:r>
    </w:p>
    <w:p>
      <w:r>
        <w:pict>
          <v:rect style="width:0;height:1.5pt" o:hralign="center" o:hrstd="t" o:hr="t"/>
        </w:pict>
      </w:r>
    </w:p>
    <w:bookmarkEnd w:id="73"/>
    <w:bookmarkStart w:id="74" w:name="a-closing-note"/>
    <w:p>
      <w:pPr>
        <w:pStyle w:val="Heading1"/>
      </w:pPr>
      <w:r>
        <w:t xml:space="preserve">A closing note</w:t>
      </w:r>
    </w:p>
    <w:p>
      <w:pPr>
        <w:pStyle w:val="FirstParagraph"/>
      </w:pPr>
      <w:r>
        <w:t xml:space="preserve">Kavya’s morning did not work, and the reason it did not work is now, in India, a matter of constitutional law and binding regulation. That is a real change, and it happened quickly — from a Supreme Court judgment in April 2025 to a full compliance regime in fifteen months.</w:t>
      </w:r>
    </w:p>
    <w:p>
      <w:pPr>
        <w:pStyle w:val="BodyText"/>
      </w:pPr>
      <w:r>
        <w:t xml:space="preserve">What has not yet arrived is the part that would let you, personally, tell whether it worked. Your broker’s compliance goes to SEBI by email. The right that was announced in December 2025 has not yet reached the charter that was supposed to carry it.</w:t>
      </w:r>
    </w:p>
    <w:p>
      <w:pPr>
        <w:pStyle w:val="BodyText"/>
      </w:pPr>
      <w:r>
        <w:t xml:space="preserve">So the checks in Chapter 6 and the complaint route in Chapter 7 are, for now, the accountability mechanism. They are in your hands rather than anyone else’s.</w:t>
      </w:r>
    </w:p>
    <w:p>
      <w:pPr>
        <w:pStyle w:val="BodyText"/>
      </w:pPr>
      <w:r>
        <w:t xml:space="preserve">If something does not work, say so — in writing, with the page, the date, and what your screen reader announced. A complaint that cannot be closed until the barrier is fixed is a small lever, and at the moment it is the one that is actually connected to something.</w:t>
      </w:r>
    </w:p>
    <w:p>
      <w:r>
        <w:pict>
          <v:rect style="width:0;height:1.5pt" o:hralign="center" o:hrstd="t" o:hr="t"/>
        </w:pict>
      </w:r>
    </w:p>
    <w:p>
      <w:pPr>
        <w:pStyle w:val="FirstParagraph"/>
      </w:pPr>
      <w:r>
        <w:rPr>
          <w:i/>
          <w:iCs/>
        </w:rPr>
        <w:t xml:space="preserve">This guide explains published rules. It is not legal advice. Everything in it can be checked against SEBI’s own circulars, available at sebi.gov.in under Legal → Circulars.</w:t>
      </w:r>
    </w:p>
    <w:p>
      <w:pPr>
        <w:pStyle w:val="BodyText"/>
      </w:pPr>
      <w:r>
        <w:rPr>
          <w:i/>
          <w:iCs/>
        </w:rPr>
        <w:t xml:space="preserve">For transparency: I used Claude to help structure and draft this guide. The research, verification against the source circulars, and conclusions are my own.</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2026-08-20T06:34:53Z</dcterms:created>
  <dcterms:modified xsi:type="dcterms:W3CDTF">2026-08-20T06:34:53Z</dcterms:modified>
</cp:coreProperties>
</file>

<file path=docProps/custom.xml><?xml version="1.0" encoding="utf-8"?>
<Properties xmlns="http://schemas.openxmlformats.org/officeDocument/2006/custom-properties" xmlns:vt="http://schemas.openxmlformats.org/officeDocument/2006/docPropsVTypes"/>
</file>