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95a823431e57ad0da404fcd8d0f9dc14734b47d"/>
    <w:p>
      <w:pPr>
        <w:pStyle w:val="Heading1"/>
      </w:pPr>
      <w:r>
        <w:t xml:space="preserve">Assessment walkthrough — Motilal Oswal Financial Services Limited</w:t>
      </w:r>
    </w:p>
    <w:p>
      <w:pPr>
        <w:pStyle w:val="FirstParagraph"/>
      </w:pPr>
      <w:r>
        <w:t xml:space="preserve">A line-by-line account of every finding recorded against one entity: what was done, what was</w:t>
      </w:r>
      <w:r>
        <w:t xml:space="preserve"> </w:t>
      </w:r>
      <w:r>
        <w:t xml:space="preserve">found, what it supports, and — as importantly — what it does not.</w:t>
      </w:r>
    </w:p>
    <w:p>
      <w:pPr>
        <w:pStyle w:val="BodyText"/>
      </w:pPr>
      <w:r>
        <w:rPr>
          <w:b/>
          <w:bCs/>
        </w:rPr>
        <w:t xml:space="preserve">Entity:</w:t>
      </w:r>
      <w:r>
        <w:t xml:space="preserve"> </w:t>
      </w:r>
      <w:r>
        <w:t xml:space="preserve">Motilal Oswal Financial Services Limited · rank 10 of 10 by NSE active clients</w:t>
      </w:r>
      <w:r>
        <w:t xml:space="preserve"> </w:t>
      </w:r>
      <w:r>
        <w:rPr>
          <w:b/>
          <w:bCs/>
        </w:rPr>
        <w:t xml:space="preserve">Assessed:</w:t>
      </w:r>
      <w:r>
        <w:t xml:space="preserve"> </w:t>
      </w:r>
      <w:r>
        <w:t xml:space="preserve">20 August 2026 · re-verified live the same day</w:t>
      </w:r>
      <w:r>
        <w:t xml:space="preserve"> </w:t>
      </w:r>
      <w:r>
        <w:rPr>
          <w:b/>
          <w:bCs/>
        </w:rPr>
        <w:t xml:space="preserve">Method:</w:t>
      </w:r>
      <w:r>
        <w:t xml:space="preserve"> </w:t>
      </w:r>
      <w:r>
        <w:rPr>
          <w:rStyle w:val="VerbatimChar"/>
        </w:rPr>
        <w:t xml:space="preserve">harness/</w:t>
      </w:r>
      <w:r>
        <w:t xml:space="preserve"> </w:t>
      </w:r>
      <w:r>
        <w:t xml:space="preserve">at commit 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; rubric v0.1</w:t>
      </w:r>
    </w:p>
    <w:p>
      <w:pPr>
        <w:pStyle w:val="BodyText"/>
      </w:pPr>
      <w:r>
        <w:rPr>
          <w:b/>
          <w:bCs/>
        </w:rPr>
        <w:t xml:space="preserve">This is not a determination that the entity is or is not compliant with SEBI’s digital</w:t>
      </w:r>
      <w:r>
        <w:rPr>
          <w:b/>
          <w:bCs/>
        </w:rPr>
        <w:t xml:space="preserve"> </w:t>
      </w:r>
      <w:r>
        <w:rPr>
          <w:b/>
          <w:bCs/>
        </w:rPr>
        <w:t xml:space="preserve">accessibility circulars.</w:t>
      </w:r>
      <w:r>
        <w:t xml:space="preserve"> </w:t>
      </w:r>
      <w:r>
        <w:t xml:space="preserve">Compliance is reported privately to SEBI and cannot be observed</w:t>
      </w:r>
      <w:r>
        <w:t xml:space="preserve"> </w:t>
      </w:r>
      <w:r>
        <w:t xml:space="preserve">externally. What follows is what was published, and what was observed.</w:t>
      </w:r>
    </w:p>
    <w:p>
      <w:r>
        <w:pict>
          <v:rect style="width:0;height:1.5pt" o:hralign="center" o:hrstd="t" o:hr="t"/>
        </w:pict>
      </w:r>
    </w:p>
    <w:bookmarkStart w:id="9" w:name="what-is-due-now-and-what-is-not"/>
    <w:p>
      <w:pPr>
        <w:pStyle w:val="Heading2"/>
      </w:pPr>
      <w:r>
        <w:t xml:space="preserve">What is due now, and what is not</w:t>
      </w:r>
    </w:p>
    <w:p>
      <w:pPr>
        <w:pStyle w:val="FirstParagraph"/>
      </w:pPr>
      <w:r>
        <w:t xml:space="preserve">This governs every finding below, and it is where most challenges will begin.</w:t>
      </w:r>
    </w:p>
    <w:p>
      <w:pPr>
        <w:pStyle w:val="BodyText"/>
      </w:pPr>
      <w:r>
        <w:t xml:space="preserve">Circular 2025/111 ¶7:</w:t>
      </w:r>
      <w:r>
        <w:t xml:space="preserve"> </w:t>
      </w:r>
      <w:r>
        <w:rPr>
          <w:i/>
          <w:iCs/>
        </w:rPr>
        <w:t xml:space="preserve">“Applicability: The provisions of this circular shall be applicable to</w:t>
      </w:r>
      <w:r>
        <w:rPr>
          <w:i/>
          <w:iCs/>
        </w:rPr>
        <w:t xml:space="preserve"> </w:t>
      </w:r>
      <w:r>
        <w:rPr>
          <w:i/>
          <w:iCs/>
        </w:rPr>
        <w:t xml:space="preserve">all REs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with effect from the date of this circular</w:t>
      </w:r>
      <w:r>
        <w:rPr>
          <w:i/>
          <w:iCs/>
        </w:rPr>
        <w:t xml:space="preserve">”</w:t>
      </w:r>
      <w:r>
        <w:t xml:space="preserve"> </w:t>
      </w:r>
      <w:r>
        <w:t xml:space="preserve">— 31 July 2025.</w:t>
      </w:r>
    </w:p>
    <w:p>
      <w:pPr>
        <w:pStyle w:val="BodyText"/>
      </w:pPr>
      <w:r>
        <w:t xml:space="preserve">Only §5.3, upgrading existing platforms, runs to</w:t>
      </w:r>
      <w:r>
        <w:t xml:space="preserve"> </w:t>
      </w:r>
      <w:r>
        <w:t xml:space="preserve">“the transition timeline”</w:t>
      </w:r>
      <w:r>
        <w:t xml:space="preserve">. The extension of</w:t>
      </w:r>
      <w:r>
        <w:t xml:space="preserve"> </w:t>
      </w:r>
      <w:r>
        <w:t xml:space="preserve">31 July 2026 moved</w:t>
      </w:r>
      <w:r>
        <w:t xml:space="preserve"> </w:t>
      </w:r>
      <w:r>
        <w:rPr>
          <w:b/>
          <w:bCs/>
        </w:rPr>
        <w:t xml:space="preserve">the accessibility audit and the remediation of its findings</w:t>
      </w:r>
      <w:r>
        <w:t xml:space="preserve"> </w:t>
      </w:r>
      <w:r>
        <w:t xml:space="preserve">to</w:t>
      </w:r>
      <w:r>
        <w:t xml:space="preserve"> </w:t>
      </w:r>
      <w:r>
        <w:t xml:space="preserve">31 October 2026. It did not move the provisions.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Obligation</w:t>
            </w:r>
          </w:p>
        </w:tc>
        <w:tc>
          <w:tcPr/>
          <w:p>
            <w:pPr>
              <w:pStyle w:val="Compact"/>
            </w:pPr>
            <w:r>
              <w:t xml:space="preserve">In force since</w:t>
            </w:r>
          </w:p>
        </w:tc>
        <w:tc>
          <w:tcPr/>
          <w:p>
            <w:pPr>
              <w:pStyle w:val="Compact"/>
            </w:pPr>
            <w:r>
              <w:t xml:space="preserve">Extended to Oct 2026?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§1.1–1.2 Nodal Officer designated</w:t>
            </w:r>
          </w:p>
        </w:tc>
        <w:tc>
          <w:tcPr/>
          <w:p>
            <w:pPr>
              <w:pStyle w:val="Compact"/>
            </w:pPr>
            <w:r>
              <w:t xml:space="preserve">31 Jul 2025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§1.3 Accessibility grievance mechanism</w:t>
            </w:r>
          </w:p>
        </w:tc>
        <w:tc>
          <w:tcPr/>
          <w:p>
            <w:pPr>
              <w:pStyle w:val="Compact"/>
            </w:pPr>
            <w:r>
              <w:t xml:space="preserve">31 Jul 2025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§2.2 Investor documents to accessible-document standards</w:t>
            </w:r>
          </w:p>
        </w:tc>
        <w:tc>
          <w:tcPr/>
          <w:p>
            <w:pPr>
              <w:pStyle w:val="Compact"/>
            </w:pPr>
            <w:r>
              <w:t xml:space="preserve">31 Jul 2025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§5.1 Audit through certified professionals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§5.2 Remediation of audit findings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</w:tr>
    </w:tbl>
    <w:p>
      <w:pPr>
        <w:pStyle w:val="BodyText"/>
      </w:pPr>
      <w:r>
        <w:t xml:space="preserve">So an outstanding audit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finding against this entity today. An untagged investor</w:t>
      </w:r>
      <w:r>
        <w:t xml:space="preserve"> </w:t>
      </w:r>
      <w:r>
        <w:t xml:space="preserve">document is a different matter.</w:t>
      </w:r>
    </w:p>
    <w:p>
      <w:r>
        <w:pict>
          <v:rect style="width:0;height:1.5pt" o:hralign="center" o:hrstd="t" o:hr="t"/>
        </w:pict>
      </w:r>
    </w:p>
    <w:bookmarkEnd w:id="9"/>
    <w:bookmarkStart w:id="10" w:name="X8586c43e6ae8cc7a65203850a46d6bbf9e003f0"/>
    <w:p>
      <w:pPr>
        <w:pStyle w:val="Heading2"/>
      </w:pPr>
      <w:r>
        <w:t xml:space="preserve">Item 1 — Accessibility statement (criterion A1)</w:t>
      </w:r>
    </w:p>
    <w:p>
      <w:pPr>
        <w:pStyle w:val="FirstParagraph"/>
      </w:pPr>
      <w:r>
        <w:rPr>
          <w:b/>
          <w:bCs/>
        </w:rPr>
        <w:t xml:space="preserve">What SEBI requires:</w:t>
      </w:r>
      <w:r>
        <w:t xml:space="preserve"> </w:t>
      </w:r>
      <w:r>
        <w:rPr>
          <w:i/>
          <w:iCs/>
        </w:rPr>
        <w:t xml:space="preserve">nothing</w:t>
      </w:r>
      <w:r>
        <w:t xml:space="preserve">. No circular obliges a Regulated Entity to publish an</w:t>
      </w:r>
      <w:r>
        <w:t xml:space="preserve"> </w:t>
      </w:r>
      <w:r>
        <w:t xml:space="preserve">accessibility statement, a conformance claim, or an audit report. This is stated plainly so</w:t>
      </w:r>
      <w:r>
        <w:t xml:space="preserve"> </w:t>
      </w:r>
      <w:r>
        <w:t xml:space="preserve">it cannot be misrepresented.</w:t>
      </w:r>
    </w:p>
    <w:p>
      <w:pPr>
        <w:pStyle w:val="BodyText"/>
      </w:pPr>
      <w:r>
        <w:rPr>
          <w:b/>
          <w:bCs/>
        </w:rPr>
        <w:t xml:space="preserve">What was done:</w:t>
      </w:r>
      <w:r>
        <w:t xml:space="preserve"> </w:t>
      </w:r>
      <w:r>
        <w:t xml:space="preserve">enumerated every</w:t>
      </w:r>
      <w:r>
        <w:t xml:space="preserve"> </w:t>
      </w:r>
      <w:r>
        <w:rPr>
          <w:rStyle w:val="VerbatimChar"/>
        </w:rPr>
        <w:t xml:space="preserve">&lt;a href&gt;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https://www.motilaloswal.com/</w:t>
      </w:r>
      <w:r>
        <w:t xml:space="preserve"> </w:t>
      </w:r>
      <w:r>
        <w:t xml:space="preserve">(492 links)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https://www.motilaloswal.com/investor-charter</w:t>
      </w:r>
      <w:r>
        <w:t xml:space="preserve"> </w:t>
      </w:r>
      <w:r>
        <w:t xml:space="preserve">(469 links), matched against</w:t>
      </w:r>
      <w:r>
        <w:t xml:space="preserve"> </w:t>
      </w:r>
      <w:r>
        <w:rPr>
          <w:rStyle w:val="VerbatimChar"/>
        </w:rPr>
        <w:t xml:space="preserve">/accessibilit|a11y|divyang|differently[-\s]?abled/i</w:t>
      </w:r>
      <w:r>
        <w:t xml:space="preserve"> </w:t>
      </w:r>
      <w:r>
        <w:t xml:space="preserve">on both link text and href.</w:t>
      </w:r>
    </w:p>
    <w:p>
      <w:pPr>
        <w:pStyle w:val="BodyText"/>
      </w:pPr>
      <w:r>
        <w:rPr>
          <w:b/>
          <w:bCs/>
        </w:rPr>
        <w:t xml:space="preserve">What was found:</w:t>
      </w:r>
      <w:r>
        <w:t xml:space="preserve"> </w:t>
      </w:r>
      <w:r>
        <w:t xml:space="preserve">no match on either page. The strings</w:t>
      </w:r>
      <w:r>
        <w:t xml:space="preserve"> </w:t>
      </w:r>
      <w:r>
        <w:t xml:space="preserve">“accessibility”</w:t>
      </w:r>
      <w:r>
        <w:t xml:space="preserve"> </w:t>
      </w:r>
      <w:r>
        <w:t xml:space="preserve">and</w:t>
      </w:r>
      <w:r>
        <w:t xml:space="preserve"> </w:t>
      </w:r>
      <w:r>
        <w:t xml:space="preserve">“disability”</w:t>
      </w:r>
      <w:r>
        <w:t xml:space="preserve"> </w:t>
      </w:r>
      <w:r>
        <w:t xml:space="preserve">do</w:t>
      </w:r>
      <w:r>
        <w:t xml:space="preserve"> </w:t>
      </w:r>
      <w:r>
        <w:t xml:space="preserve">not appear in the rendered text of either page.</w:t>
      </w:r>
    </w:p>
    <w:p>
      <w:pPr>
        <w:pStyle w:val="BodyText"/>
      </w:pPr>
      <w:r>
        <w:rPr>
          <w:b/>
          <w:bCs/>
        </w:rPr>
        <w:t xml:space="preserve">What this supports:</w:t>
      </w:r>
      <w:r>
        <w:t xml:space="preserve"> </w:t>
      </w:r>
      <w:r>
        <w:t xml:space="preserve">an investor cannot find an accessibility statement, a conformance</w:t>
      </w:r>
      <w:r>
        <w:t xml:space="preserve"> </w:t>
      </w:r>
      <w:r>
        <w:t xml:space="preserve">claim, or accessibility information from this entity’s home page or investor charter page.</w:t>
      </w:r>
    </w:p>
    <w:p>
      <w:pPr>
        <w:pStyle w:val="BodyText"/>
      </w:pPr>
      <w:r>
        <w:rPr>
          <w:b/>
          <w:bCs/>
        </w:rPr>
        <w:t xml:space="preserve">What this does NOT support:</w:t>
      </w:r>
      <w:r>
        <w:t xml:space="preserve"> </w:t>
      </w:r>
      <w:r>
        <w:t xml:space="preserve">any breach. There is no obligation to publish one. It also</w:t>
      </w:r>
      <w:r>
        <w:t xml:space="preserve"> </w:t>
      </w:r>
      <w:r>
        <w:t xml:space="preserve">does not establish absence site-wide — two pages were checked, not the whole site.</w:t>
      </w:r>
    </w:p>
    <w:p>
      <w:pPr>
        <w:pStyle w:val="BodyText"/>
      </w:pPr>
      <w:r>
        <w:rPr>
          <w:b/>
          <w:bCs/>
        </w:rPr>
        <w:t xml:space="preserve">Conceded in advance:</w:t>
      </w:r>
      <w:r>
        <w:t xml:space="preserve"> </w:t>
      </w:r>
      <w:r>
        <w:t xml:space="preserve">if such a page exists elsewhere and is simply not linked from these</w:t>
      </w:r>
      <w:r>
        <w:t xml:space="preserve"> </w:t>
      </w:r>
      <w:r>
        <w:t xml:space="preserve">two pages, the finding is one of discoverability only, and we will say so.</w:t>
      </w:r>
    </w:p>
    <w:p>
      <w:r>
        <w:pict>
          <v:rect style="width:0;height:1.5pt" o:hralign="center" o:hrstd="t" o:hr="t"/>
        </w:pict>
      </w:r>
    </w:p>
    <w:bookmarkEnd w:id="10"/>
    <w:bookmarkStart w:id="11" w:name="Xe7b4504ff68d6a18ee4b5fc9eaa841fd5b342eb"/>
    <w:p>
      <w:pPr>
        <w:pStyle w:val="Heading2"/>
      </w:pPr>
      <w:r>
        <w:t xml:space="preserve">Item 2 — Nodal Officer for digital accessibility (criterion A4)</w:t>
      </w:r>
    </w:p>
    <w:p>
      <w:pPr>
        <w:pStyle w:val="FirstParagraph"/>
      </w:pPr>
      <w:r>
        <w:rPr>
          <w:b/>
          <w:bCs/>
        </w:rPr>
        <w:t xml:space="preserve">What SEBI requires:</w:t>
      </w:r>
      <w:r>
        <w:t xml:space="preserve"> </w:t>
      </w:r>
      <w:r>
        <w:t xml:space="preserve">§1.1 — a senior officer designated as Nodal Officer for digital</w:t>
      </w:r>
      <w:r>
        <w:t xml:space="preserve"> </w:t>
      </w:r>
      <w:r>
        <w:t xml:space="preserve">accessibility; absent a designation, the Compliance Officer or Proprietor is deemed to hold</w:t>
      </w:r>
      <w:r>
        <w:t xml:space="preserve"> </w:t>
      </w:r>
      <w:r>
        <w:t xml:space="preserve">it. §1.2 — that officer is the contact point for SEBI.</w:t>
      </w:r>
      <w:r>
        <w:t xml:space="preserve"> </w:t>
      </w:r>
      <w:r>
        <w:rPr>
          <w:b/>
          <w:bCs/>
        </w:rPr>
        <w:t xml:space="preserve">In force since 31 July 2025.</w:t>
      </w:r>
    </w:p>
    <w:p>
      <w:pPr>
        <w:pStyle w:val="BodyText"/>
      </w:pPr>
      <w:r>
        <w:rPr>
          <w:b/>
          <w:bCs/>
        </w:rPr>
        <w:t xml:space="preserve">What was done:</w:t>
      </w:r>
      <w:r>
        <w:t xml:space="preserve"> </w:t>
      </w:r>
      <w:r>
        <w:t xml:space="preserve">searched the rendered text of both pages for</w:t>
      </w:r>
      <w:r>
        <w:t xml:space="preserve"> </w:t>
      </w:r>
      <w:r>
        <w:rPr>
          <w:rStyle w:val="VerbatimChar"/>
        </w:rPr>
        <w:t xml:space="preserve">nodal officer</w:t>
      </w:r>
      <w:r>
        <w:t xml:space="preserve">, and for any</w:t>
      </w:r>
      <w:r>
        <w:t xml:space="preserve"> </w:t>
      </w:r>
      <w:r>
        <w:t xml:space="preserve">co-occurrence of a nodal officer with accessibility or disability within 140 characters.</w:t>
      </w:r>
    </w:p>
    <w:p>
      <w:pPr>
        <w:pStyle w:val="BodyText"/>
      </w:pPr>
      <w:r>
        <w:rPr>
          <w:b/>
          <w:bCs/>
        </w:rPr>
        <w:t xml:space="preserve">What was found:</w:t>
      </w:r>
      <w:r>
        <w:t xml:space="preserve"> </w:t>
      </w:r>
      <w:r>
        <w:t xml:space="preserve">no occurrence of</w:t>
      </w:r>
      <w:r>
        <w:t xml:space="preserve"> </w:t>
      </w:r>
      <w:r>
        <w:t xml:space="preserve">“nodal officer”</w:t>
      </w:r>
      <w:r>
        <w:t xml:space="preserve"> </w:t>
      </w:r>
      <w:r>
        <w:t xml:space="preserve">on either page.</w:t>
      </w:r>
    </w:p>
    <w:p>
      <w:pPr>
        <w:pStyle w:val="BodyText"/>
      </w:pPr>
      <w:r>
        <w:rPr>
          <w:b/>
          <w:bCs/>
        </w:rPr>
        <w:t xml:space="preserve">What this supports:</w:t>
      </w:r>
      <w:r>
        <w:t xml:space="preserve"> </w:t>
      </w:r>
      <w:r>
        <w:t xml:space="preserve">no Nodal Officer for digital accessibility is discoverable by an</w:t>
      </w:r>
      <w:r>
        <w:t xml:space="preserve"> </w:t>
      </w:r>
      <w:r>
        <w:t xml:space="preserve">investor from the home page or the investor charter page.</w:t>
      </w:r>
    </w:p>
    <w:p>
      <w:pPr>
        <w:pStyle w:val="BodyText"/>
      </w:pPr>
      <w:r>
        <w:rPr>
          <w:b/>
          <w:bCs/>
        </w:rPr>
        <w:t xml:space="preserve">What this does NOT support:</w:t>
      </w:r>
      <w:r>
        <w:t xml:space="preserve"> </w:t>
      </w:r>
      <w:r>
        <w:t xml:space="preserve">that no officer has been designated. The circular requires</w:t>
      </w:r>
      <w:r>
        <w:t xml:space="preserve"> </w:t>
      </w:r>
      <w:r>
        <w:rPr>
          <w:i/>
          <w:iCs/>
        </w:rPr>
        <w:t xml:space="preserve">designation</w:t>
      </w:r>
      <w:r>
        <w:t xml:space="preserve"> </w:t>
      </w:r>
      <w:r>
        <w:t xml:space="preserve">and names SEBI as the contact point; it does not in terms require publication</w:t>
      </w:r>
      <w:r>
        <w:t xml:space="preserve"> </w:t>
      </w:r>
      <w:r>
        <w:t xml:space="preserve">to investors. The designation may well exist and have been reported to SEBI privately — which</w:t>
      </w:r>
      <w:r>
        <w:t xml:space="preserve"> </w:t>
      </w:r>
      <w:r>
        <w:t xml:space="preserve">is precisely the visibility problem this project documents.</w:t>
      </w:r>
    </w:p>
    <w:p>
      <w:pPr>
        <w:pStyle w:val="BodyText"/>
      </w:pPr>
      <w:r>
        <w:rPr>
          <w:b/>
          <w:bCs/>
        </w:rPr>
        <w:t xml:space="preserve">Conceded in advance:</w:t>
      </w:r>
      <w:r>
        <w:t xml:space="preserve"> </w:t>
      </w:r>
      <w:r>
        <w:t xml:space="preserve">this is a discoverability finding, not a designation finding. We</w:t>
      </w:r>
      <w:r>
        <w:t xml:space="preserve"> </w:t>
      </w:r>
      <w:r>
        <w:t xml:space="preserve">cannot see designations.</w:t>
      </w:r>
    </w:p>
    <w:p>
      <w:r>
        <w:pict>
          <v:rect style="width:0;height:1.5pt" o:hralign="center" o:hrstd="t" o:hr="t"/>
        </w:pict>
      </w:r>
    </w:p>
    <w:bookmarkEnd w:id="11"/>
    <w:bookmarkStart w:id="12" w:name="X9f36795aadde1c1b48fa37954f0d91570d5a1fd"/>
    <w:p>
      <w:pPr>
        <w:pStyle w:val="Heading2"/>
      </w:pPr>
      <w:r>
        <w:t xml:space="preserve">Item 3 — Accessibility grievance mechanism (criterion A5)</w:t>
      </w:r>
    </w:p>
    <w:p>
      <w:pPr>
        <w:pStyle w:val="FirstParagraph"/>
      </w:pPr>
      <w:r>
        <w:rPr>
          <w:b/>
          <w:bCs/>
        </w:rPr>
        <w:t xml:space="preserve">What SEBI requires:</w:t>
      </w:r>
      <w:r>
        <w:t xml:space="preserve"> </w:t>
      </w:r>
      <w:r>
        <w:t xml:space="preserve">§1.3 —</w:t>
      </w:r>
      <w:r>
        <w:t xml:space="preserve"> </w:t>
      </w:r>
      <w:r>
        <w:rPr>
          <w:i/>
          <w:iCs/>
        </w:rPr>
        <w:t xml:space="preserve">“A grievance redressal mechanism specific to accessibility</w:t>
      </w:r>
      <w:r>
        <w:rPr>
          <w:i/>
          <w:iCs/>
        </w:rPr>
        <w:t xml:space="preserve"> </w:t>
      </w:r>
      <w:r>
        <w:rPr>
          <w:i/>
          <w:iCs/>
        </w:rPr>
        <w:t xml:space="preserve">issues shall be institutionalized within the REs. Channels such as email, helpline, and web</w:t>
      </w:r>
      <w:r>
        <w:rPr>
          <w:i/>
          <w:iCs/>
        </w:rPr>
        <w:t xml:space="preserve"> </w:t>
      </w:r>
      <w:r>
        <w:rPr>
          <w:i/>
          <w:iCs/>
        </w:rPr>
        <w:t xml:space="preserve">forms must be user-friendly for PwDs. The system must include provisions for escalation to</w:t>
      </w:r>
      <w:r>
        <w:rPr>
          <w:i/>
          <w:iCs/>
        </w:rPr>
        <w:t xml:space="preserve"> </w:t>
      </w:r>
      <w:r>
        <w:rPr>
          <w:i/>
          <w:iCs/>
        </w:rPr>
        <w:t xml:space="preserve">senior officers.”</w:t>
      </w:r>
      <w:r>
        <w:t xml:space="preserve"> </w:t>
      </w:r>
      <w:r>
        <w:rPr>
          <w:b/>
          <w:bCs/>
        </w:rPr>
        <w:t xml:space="preserve">In force since 31 July 2025 — not extended.</w:t>
      </w:r>
    </w:p>
    <w:p>
      <w:pPr>
        <w:pStyle w:val="BodyText"/>
      </w:pPr>
      <w:r>
        <w:rPr>
          <w:b/>
          <w:bCs/>
        </w:rPr>
        <w:t xml:space="preserve">What was done:</w:t>
      </w:r>
      <w:r>
        <w:t xml:space="preserve"> </w:t>
      </w:r>
      <w:r>
        <w:t xml:space="preserve">enumerated grievance-related links and searched for any co-occurrence of</w:t>
      </w:r>
      <w:r>
        <w:t xml:space="preserve"> </w:t>
      </w:r>
      <w:r>
        <w:t xml:space="preserve">accessibility or disability with grievance, complaint or helpline within 160 characters.</w:t>
      </w:r>
    </w:p>
    <w:p>
      <w:pPr>
        <w:pStyle w:val="BodyText"/>
      </w:pPr>
      <w:r>
        <w:rPr>
          <w:b/>
          <w:bCs/>
        </w:rPr>
        <w:t xml:space="preserve">What was found:</w:t>
      </w:r>
      <w:r>
        <w:t xml:space="preserve"> </w:t>
      </w:r>
      <w:r>
        <w:t xml:space="preserve">three grievance addresses —</w:t>
      </w:r>
      <w:r>
        <w:t xml:space="preserve"> </w:t>
      </w:r>
      <w:r>
        <w:rPr>
          <w:rStyle w:val="VerbatimChar"/>
        </w:rPr>
        <w:t xml:space="preserve">grievances@</w:t>
      </w:r>
      <w:r>
        <w:t xml:space="preserve">,</w:t>
      </w:r>
      <w:r>
        <w:t xml:space="preserve"> </w:t>
      </w:r>
      <w:r>
        <w:rPr>
          <w:rStyle w:val="VerbatimChar"/>
        </w:rPr>
        <w:t xml:space="preserve">dpgrievances@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commoditygrievances@motilaloswal.com</w:t>
      </w:r>
      <w:r>
        <w:t xml:space="preserve"> </w:t>
      </w:r>
      <w:r>
        <w:t xml:space="preserve">— segmented by product line. No accessibility-specific</w:t>
      </w:r>
      <w:r>
        <w:t xml:space="preserve"> </w:t>
      </w:r>
      <w:r>
        <w:t xml:space="preserve">channel. No co-occurrence match on either page.</w:t>
      </w:r>
    </w:p>
    <w:p>
      <w:pPr>
        <w:pStyle w:val="BodyText"/>
      </w:pPr>
      <w:r>
        <w:rPr>
          <w:b/>
          <w:bCs/>
        </w:rPr>
        <w:t xml:space="preserve">What this supports:</w:t>
      </w:r>
      <w:r>
        <w:t xml:space="preserve"> </w:t>
      </w:r>
      <w:r>
        <w:rPr>
          <w:b/>
          <w:bCs/>
        </w:rPr>
        <w:t xml:space="preserve">this is the strongest live finding against the entity.</w:t>
      </w:r>
      <w:r>
        <w:t xml:space="preserve"> </w:t>
      </w:r>
      <w:r>
        <w:t xml:space="preserve">A grievance</w:t>
      </w:r>
      <w:r>
        <w:t xml:space="preserve"> </w:t>
      </w:r>
      <w:r>
        <w:t xml:space="preserve">mechanism</w:t>
      </w:r>
      <w:r>
        <w:t xml:space="preserve"> </w:t>
      </w:r>
      <w:r>
        <w:rPr>
          <w:i/>
          <w:iCs/>
        </w:rPr>
        <w:t xml:space="preserve">specific to accessibility issues</w:t>
      </w:r>
      <w:r>
        <w:t xml:space="preserve"> </w:t>
      </w:r>
      <w:r>
        <w:t xml:space="preserve">is required, has been required for thirteen</w:t>
      </w:r>
      <w:r>
        <w:t xml:space="preserve"> </w:t>
      </w:r>
      <w:r>
        <w:t xml:space="preserve">months, and no deadline extension applies to it. None is discoverable.</w:t>
      </w:r>
    </w:p>
    <w:p>
      <w:pPr>
        <w:pStyle w:val="BodyText"/>
      </w:pPr>
      <w:r>
        <w:rPr>
          <w:b/>
          <w:bCs/>
        </w:rPr>
        <w:t xml:space="preserve">What this does NOT support:</w:t>
      </w:r>
      <w:r>
        <w:t xml:space="preserve"> </w:t>
      </w:r>
      <w:r>
        <w:t xml:space="preserve">that an accessible investor cannot complain at all. The</w:t>
      </w:r>
      <w:r>
        <w:t xml:space="preserve"> </w:t>
      </w:r>
      <w:r>
        <w:t xml:space="preserve">generic channels exist and presumably accept accessibility complaints. The circular asks for</w:t>
      </w:r>
      <w:r>
        <w:t xml:space="preserve"> </w:t>
      </w:r>
      <w:r>
        <w:t xml:space="preserve">something narrower — a specific mechanism with escalation — and that is what is absent.</w:t>
      </w:r>
    </w:p>
    <w:p>
      <w:pPr>
        <w:pStyle w:val="BodyText"/>
      </w:pPr>
      <w:r>
        <w:rPr>
          <w:b/>
          <w:bCs/>
        </w:rPr>
        <w:t xml:space="preserve">Conceded in advance:</w:t>
      </w:r>
      <w:r>
        <w:t xml:space="preserve"> </w:t>
      </w:r>
      <w:r>
        <w:t xml:space="preserve">if the entity operates an accessibility-specific channel that is not</w:t>
      </w:r>
      <w:r>
        <w:t xml:space="preserve"> </w:t>
      </w:r>
      <w:r>
        <w:t xml:space="preserve">linked from these pages, this becomes a discoverability finding. We would correct it.</w:t>
      </w:r>
    </w:p>
    <w:p>
      <w:r>
        <w:pict>
          <v:rect style="width:0;height:1.5pt" o:hralign="center" o:hrstd="t" o:hr="t"/>
        </w:pict>
      </w:r>
    </w:p>
    <w:bookmarkEnd w:id="12"/>
    <w:bookmarkStart w:id="13" w:name="X8b77f25a49fb33ba31a2821a151c1a00404ef82"/>
    <w:p>
      <w:pPr>
        <w:pStyle w:val="Heading2"/>
      </w:pPr>
      <w:r>
        <w:t xml:space="preserve">Item 4 — Investor Charter PDFs (criterion A7)</w:t>
      </w:r>
    </w:p>
    <w:p>
      <w:pPr>
        <w:pStyle w:val="FirstParagraph"/>
      </w:pPr>
      <w:r>
        <w:rPr>
          <w:b/>
          <w:bCs/>
        </w:rPr>
        <w:t xml:space="preserve">What SEBI requires:</w:t>
      </w:r>
      <w:r>
        <w:t xml:space="preserve"> </w:t>
      </w:r>
      <w:r>
        <w:t xml:space="preserve">§2.2 — investor documents published in PDF</w:t>
      </w:r>
      <w:r>
        <w:t xml:space="preserve"> </w:t>
      </w:r>
      <w:r>
        <w:rPr>
          <w:i/>
          <w:iCs/>
        </w:rPr>
        <w:t xml:space="preserve">“must follow accessible</w:t>
      </w:r>
      <w:r>
        <w:rPr>
          <w:i/>
          <w:iCs/>
        </w:rPr>
        <w:t xml:space="preserve"> </w:t>
      </w:r>
      <w:r>
        <w:rPr>
          <w:i/>
          <w:iCs/>
        </w:rPr>
        <w:t xml:space="preserve">document standards”</w:t>
      </w:r>
      <w:r>
        <w:t xml:space="preserve">, and the RE</w:t>
      </w:r>
      <w:r>
        <w:t xml:space="preserve"> </w:t>
      </w:r>
      <w:r>
        <w:rPr>
          <w:i/>
          <w:iCs/>
        </w:rPr>
        <w:t xml:space="preserve">“shall follow the PDF techniques covered in WCAG 2.1”</w:t>
      </w:r>
      <w:r>
        <w:t xml:space="preserve">.</w:t>
      </w:r>
      <w:r>
        <w:t xml:space="preserve"> </w:t>
      </w:r>
      <w:r>
        <w:rPr>
          <w:b/>
          <w:bCs/>
        </w:rPr>
        <w:t xml:space="preserve">In force since 31 July 2025 — not extended.</w:t>
      </w:r>
    </w:p>
    <w:p>
      <w:pPr>
        <w:pStyle w:val="BodyText"/>
      </w:pPr>
      <w:r>
        <w:rPr>
          <w:b/>
          <w:bCs/>
        </w:rPr>
        <w:t xml:space="preserve">What was done:</w:t>
      </w:r>
      <w:r>
        <w:t xml:space="preserve"> </w:t>
      </w:r>
      <w:r>
        <w:t xml:space="preserve">downloaded all three Investor Charter PDFs linked from the entity’s own</w:t>
      </w:r>
      <w:r>
        <w:t xml:space="preserve"> </w:t>
      </w:r>
      <w:r>
        <w:t xml:space="preserve">investor charter page,</w:t>
      </w:r>
      <w:r>
        <w:t xml:space="preserve"> </w:t>
      </w:r>
      <w:r>
        <w:rPr>
          <w:b/>
          <w:bCs/>
        </w:rPr>
        <w:t xml:space="preserve">with content-encoding decompression</w:t>
      </w:r>
      <w:r>
        <w:t xml:space="preserve">, and checked each for a</w:t>
      </w:r>
      <w:r>
        <w:t xml:space="preserve"> </w:t>
      </w:r>
      <w:r>
        <w:t xml:space="preserve">structure tree, a Marked flag and a document language — corroborated against</w:t>
      </w:r>
      <w:r>
        <w:t xml:space="preserve"> </w:t>
      </w:r>
      <w:r>
        <w:rPr>
          <w:rStyle w:val="VerbatimChar"/>
        </w:rPr>
        <w:t xml:space="preserve">pdfinfo</w:t>
      </w:r>
      <w:r>
        <w:t xml:space="preserve">,</w:t>
      </w:r>
      <w:r>
        <w:t xml:space="preserve"> </w:t>
      </w:r>
      <w:r>
        <w:t xml:space="preserve">which reports its own</w:t>
      </w:r>
      <w:r>
        <w:t xml:space="preserve"> </w:t>
      </w:r>
      <w:r>
        <w:rPr>
          <w:rStyle w:val="VerbatimChar"/>
        </w:rPr>
        <w:t xml:space="preserve">Tagged:</w:t>
      </w:r>
      <w:r>
        <w:t xml:space="preserve"> </w:t>
      </w:r>
      <w:r>
        <w:t xml:space="preserve">verdict independently of our code.</w:t>
      </w:r>
    </w:p>
    <w:p>
      <w:pPr>
        <w:pStyle w:val="BodyText"/>
      </w:pPr>
      <w:r>
        <w:rPr>
          <w:b/>
          <w:bCs/>
        </w:rPr>
        <w:t xml:space="preserve">What was found</w:t>
      </w:r>
      <w:r>
        <w:t xml:space="preserve">, retrieved 20 August 2026: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Pages</w:t>
            </w:r>
          </w:p>
        </w:tc>
        <w:tc>
          <w:tcPr/>
          <w:p>
            <w:pPr>
              <w:pStyle w:val="Compact"/>
            </w:pPr>
            <w:r>
              <w:t xml:space="preserve">Producer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pdfinfo</w:t>
            </w:r>
            <w:r>
              <w:t xml:space="preserve"> </w:t>
            </w:r>
            <w:r>
              <w:t xml:space="preserve">Tagged</w:t>
            </w:r>
          </w:p>
        </w:tc>
        <w:tc>
          <w:tcPr/>
          <w:p>
            <w:pPr>
              <w:pStyle w:val="Compact"/>
            </w:pPr>
            <w:r>
              <w:t xml:space="preserve">StructTreeRoot</w:t>
            </w:r>
          </w:p>
        </w:tc>
        <w:tc>
          <w:tcPr/>
          <w:p>
            <w:pPr>
              <w:pStyle w:val="Compact"/>
            </w:pPr>
            <w:r>
              <w:t xml:space="preserve">Marked true</w:t>
            </w:r>
          </w:p>
        </w:tc>
        <w:tc>
          <w:tcPr/>
          <w:p>
            <w:pPr>
              <w:pStyle w:val="Compact"/>
            </w:pPr>
            <w:r>
              <w:t xml:space="preserve">Lang</w:t>
            </w:r>
          </w:p>
        </w:tc>
        <w:tc>
          <w:tcPr/>
          <w:p>
            <w:pPr>
              <w:pStyle w:val="Compact"/>
            </w:pPr>
            <w:r>
              <w:t xml:space="preserve">Extractable text</w:t>
            </w:r>
          </w:p>
        </w:tc>
        <w:tc>
          <w:tcPr/>
          <w:p>
            <w:pPr>
              <w:pStyle w:val="Compact"/>
            </w:pPr>
            <w:r>
              <w:t xml:space="preserve">SHA-256 (first 16)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investor-charter-for-stock-brokers-dt-27-02-2025.pdf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Corel PDF Engine 19.0.0.328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9,960 chars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7918741368bc14a0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dp-charter-mar-2025.pdf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Microsoft Word 2016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5,681 chars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21bc0c41e5a09bc2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investor-charter-research-analyst.pdf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Corel PDF Engine 19.0.0.328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6,494 chars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71776b3c051a79b6</w:t>
            </w:r>
          </w:p>
        </w:tc>
      </w:tr>
    </w:tbl>
    <w:p>
      <w:pPr>
        <w:pStyle w:val="BodyText"/>
      </w:pPr>
      <w:r>
        <w:rPr>
          <w:b/>
          <w:bCs/>
        </w:rPr>
        <w:t xml:space="preserve">What this supports:</w:t>
      </w:r>
      <w:r>
        <w:t xml:space="preserve"> </w:t>
      </w:r>
      <w:r>
        <w:t xml:space="preserve">all three Investor Charter PDFs are untagged. Two declare no document</w:t>
      </w:r>
      <w:r>
        <w:t xml:space="preserve"> </w:t>
      </w:r>
      <w:r>
        <w:t xml:space="preserve">language. A screen reader cannot determine heading structure, table relationships, list</w:t>
      </w:r>
      <w:r>
        <w:t xml:space="preserve"> </w:t>
      </w:r>
      <w:r>
        <w:t xml:space="preserve">semantics or reading order from any of them, and cannot select a pronunciation dictionary for</w:t>
      </w:r>
      <w:r>
        <w:t xml:space="preserve"> </w:t>
      </w:r>
      <w:r>
        <w:t xml:space="preserve">two of the three. These are the statutory documents describing investors’ rights.</w:t>
      </w:r>
    </w:p>
    <w:p>
      <w:pPr>
        <w:pStyle w:val="BodyText"/>
      </w:pPr>
      <w:r>
        <w:rPr>
          <w:b/>
          <w:bCs/>
        </w:rPr>
        <w:t xml:space="preserve">What this does NOT support — and this matters:</w:t>
      </w:r>
      <w:r>
        <w:t xml:space="preserve"> </w:t>
      </w:r>
      <w:r>
        <w:t xml:space="preserve">these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scanned images. Text is</w:t>
      </w:r>
      <w:r>
        <w:t xml:space="preserve"> </w:t>
      </w:r>
      <w:r>
        <w:t xml:space="preserve">extractable from all three: 9,960, 5,681 and 6,494 characters respectively. A screen reader</w:t>
      </w:r>
      <w:r>
        <w:t xml:space="preserve"> </w:t>
      </w:r>
      <w:r>
        <w:t xml:space="preserve">will read words. What it will not get is structure. Any claim that these documents are</w:t>
      </w:r>
      <w:r>
        <w:t xml:space="preserve"> </w:t>
      </w:r>
      <w:r>
        <w:t xml:space="preserve">“unreadable”</w:t>
      </w:r>
      <w:r>
        <w:t xml:space="preserve"> </w:t>
      </w:r>
      <w:r>
        <w:t xml:space="preserve">or</w:t>
      </w:r>
      <w:r>
        <w:t xml:space="preserve"> </w:t>
      </w:r>
      <w:r>
        <w:t xml:space="preserve">“pictures of pages”</w:t>
      </w:r>
      <w:r>
        <w:t xml:space="preserve"> </w:t>
      </w:r>
      <w:r>
        <w:t xml:space="preserve">would be</w:t>
      </w:r>
      <w:r>
        <w:t xml:space="preserve"> </w:t>
      </w:r>
      <w:r>
        <w:rPr>
          <w:b/>
          <w:bCs/>
        </w:rPr>
        <w:t xml:space="preserve">false</w:t>
      </w:r>
      <w:r>
        <w:t xml:space="preserve">, and we do not make it.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dp-charter</w:t>
      </w:r>
      <w:r>
        <w:t xml:space="preserve"> </w:t>
      </w:r>
      <w:r>
        <w:t xml:space="preserve">is a partial case: Microsoft Word emitted a structure tree and a language,</w:t>
      </w:r>
      <w:r>
        <w:t xml:space="preserve"> </w:t>
      </w:r>
      <w:r>
        <w:t xml:space="preserve">but the document is not marked as tagged, so assistive technology will not use the tree. That</w:t>
      </w:r>
      <w:r>
        <w:t xml:space="preserve"> </w:t>
      </w:r>
      <w:r>
        <w:t xml:space="preserve">is a production-pipeline defect rather than an absence of effort.</w:t>
      </w:r>
    </w:p>
    <w:p>
      <w:pPr>
        <w:pStyle w:val="BodyText"/>
      </w:pPr>
      <w:r>
        <w:rPr>
          <w:b/>
          <w:bCs/>
        </w:rPr>
        <w:t xml:space="preserve">Conceded in advance:</w:t>
      </w:r>
      <w:r>
        <w:t xml:space="preserve"> </w:t>
      </w:r>
      <w:r>
        <w:t xml:space="preserve">§2.2 does not name PDF/UA or ISO 14289; it names the WCAG PDF</w:t>
      </w:r>
      <w:r>
        <w:t xml:space="preserve"> </w:t>
      </w:r>
      <w:r>
        <w:t xml:space="preserve">techniques. Our check tests the minimum machine-verifiable signals of a tagged PDF, not</w:t>
      </w:r>
      <w:r>
        <w:t xml:space="preserve"> </w:t>
      </w:r>
      <w:r>
        <w:t xml:space="preserve">conformance to PDF/UA. A document could fail our check and still have been produced in good</w:t>
      </w:r>
      <w:r>
        <w:t xml:space="preserve"> </w:t>
      </w:r>
      <w:r>
        <w:t xml:space="preserve">faith by a standard office tool — which is exactly what the Word-produced file shows.</w:t>
      </w:r>
    </w:p>
    <w:p>
      <w:r>
        <w:pict>
          <v:rect style="width:0;height:1.5pt" o:hralign="center" o:hrstd="t" o:hr="t"/>
        </w:pict>
      </w:r>
    </w:p>
    <w:bookmarkEnd w:id="13"/>
    <w:bookmarkStart w:id="15" w:name="Xebfa7eb7c74a4a8db48e5a1b2ac92bbebf47340"/>
    <w:p>
      <w:pPr>
        <w:pStyle w:val="Heading2"/>
      </w:pPr>
      <w:r>
        <w:t xml:space="preserve">Item 5 — Digital accessibility right in the Investor Charter (criterion S3)</w:t>
      </w:r>
    </w:p>
    <w:p>
      <w:pPr>
        <w:pStyle w:val="FirstParagraph"/>
      </w:pPr>
      <w:r>
        <w:rPr>
          <w:b/>
          <w:bCs/>
        </w:rPr>
        <w:t xml:space="preserve">Not scored. Held under</w:t>
      </w:r>
      <w:r>
        <w:rPr>
          <w:b/>
          <w:bCs/>
        </w:rPr>
        <w:t xml:space="preserve"> </w:t>
      </w:r>
      <w:hyperlink r:id="rId14">
        <w:r>
          <w:rPr>
            <w:rStyle w:val="Hyperlink"/>
            <w:b/>
            <w:bCs/>
          </w:rPr>
          <w:t xml:space="preserve">OQ-1</w:t>
        </w:r>
      </w:hyperlink>
      <w:r>
        <w:rPr>
          <w:b/>
          <w:bCs/>
        </w:rPr>
        <w:t xml:space="preserve">.</w:t>
      </w:r>
    </w:p>
    <w:p>
      <w:pPr>
        <w:pStyle w:val="BodyText"/>
      </w:pPr>
      <w:r>
        <w:t xml:space="preserve">The right is absent from this entity’s charter, as it is from all ten checked. But the</w:t>
      </w:r>
      <w:r>
        <w:t xml:space="preserve"> </w:t>
      </w:r>
      <w:r>
        <w:t xml:space="preserve">December 2025 clarification says the right will appear in the charters</w:t>
      </w:r>
      <w:r>
        <w:t xml:space="preserve"> </w:t>
      </w:r>
      <w:r>
        <w:rPr>
          <w:i/>
          <w:iCs/>
        </w:rPr>
        <w:t xml:space="preserve">“published by SEBI”</w:t>
      </w:r>
      <w:r>
        <w:t xml:space="preserve"> </w:t>
      </w:r>
      <w:r>
        <w:t xml:space="preserve">—</w:t>
      </w:r>
      <w:r>
        <w:t xml:space="preserve"> </w:t>
      </w:r>
      <w:r>
        <w:t xml:space="preserve">the model template is the regulator’s to amend, and SEBI’s own published Investor Charter does</w:t>
      </w:r>
      <w:r>
        <w:t xml:space="preserve"> </w:t>
      </w:r>
      <w:r>
        <w:t xml:space="preserve">not contain it either. Scoring this against the entity would attribute a regulator’s omission</w:t>
      </w:r>
      <w:r>
        <w:t xml:space="preserve"> </w:t>
      </w:r>
      <w:r>
        <w:t xml:space="preserve">to it.</w:t>
      </w:r>
    </w:p>
    <w:p>
      <w:r>
        <w:pict>
          <v:rect style="width:0;height:1.5pt" o:hralign="center" o:hrstd="t" o:hr="t"/>
        </w:pict>
      </w:r>
    </w:p>
    <w:bookmarkEnd w:id="15"/>
    <w:bookmarkStart w:id="16" w:name="item-6-automated-scan-results-band-b"/>
    <w:p>
      <w:pPr>
        <w:pStyle w:val="Heading2"/>
      </w:pPr>
      <w:r>
        <w:t xml:space="preserve">Item 6 — Automated scan results (Band B)</w:t>
      </w:r>
    </w:p>
    <w:p>
      <w:pPr>
        <w:pStyle w:val="FirstParagraph"/>
      </w:pPr>
      <w:r>
        <w:rPr>
          <w:b/>
          <w:bCs/>
        </w:rPr>
        <w:t xml:space="preserve">Recorded, not published, and not assertable.</w:t>
      </w:r>
    </w:p>
    <w:p>
      <w:pPr>
        <w:pStyle w:val="BodyText"/>
      </w:pPr>
      <w:r>
        <w:t xml:space="preserve">Three surfaces scanned: 0 critical and 12.92 serious violation nodes per 1,000 DOM elements;</w:t>
      </w:r>
      <w:r>
        <w:t xml:space="preserve"> </w:t>
      </w:r>
      <w:r>
        <w:t xml:space="preserve">zero axe violations on the home page and the investor charter page — the cleanest automated</w:t>
      </w:r>
      <w:r>
        <w:t xml:space="preserve"> </w:t>
      </w:r>
      <w:r>
        <w:t xml:space="preserve">result in the sample.</w:t>
      </w:r>
    </w:p>
    <w:p>
      <w:pPr>
        <w:pStyle w:val="BodyText"/>
      </w:pPr>
      <w:r>
        <w:rPr>
          <w:b/>
          <w:bCs/>
        </w:rPr>
        <w:t xml:space="preserve">No manual reproduction pass has been run.</w:t>
      </w:r>
      <w:r>
        <w:t xml:space="preserve"> </w:t>
      </w:r>
      <w:r>
        <w:t xml:space="preserve">Under rubric rule 7 nothing from the scan may</w:t>
      </w:r>
      <w:r>
        <w:t xml:space="preserve"> </w:t>
      </w:r>
      <w:r>
        <w:t xml:space="preserve">be published until each finding is reproduced by hand. That applies to the favourable numbers</w:t>
      </w:r>
      <w:r>
        <w:t xml:space="preserve"> </w:t>
      </w:r>
      <w:r>
        <w:t xml:space="preserve">above as much as to any adverse one.</w:t>
      </w:r>
    </w:p>
    <w:p>
      <w:r>
        <w:pict>
          <v:rect style="width:0;height:1.5pt" o:hralign="center" o:hrstd="t" o:hr="t"/>
        </w:pict>
      </w:r>
    </w:p>
    <w:bookmarkEnd w:id="16"/>
    <w:bookmarkStart w:id="17" w:name="summary-of-what-would-survive-challenge"/>
    <w:p>
      <w:pPr>
        <w:pStyle w:val="Heading2"/>
      </w:pPr>
      <w:r>
        <w:t xml:space="preserve">Summary of what would survive challenge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Finding</w:t>
            </w:r>
          </w:p>
        </w:tc>
        <w:tc>
          <w:tcPr/>
          <w:p>
            <w:pPr>
              <w:pStyle w:val="Compact"/>
            </w:pPr>
            <w:r>
              <w:t xml:space="preserve">Standing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accessibility-specific grievance mechanism discoverable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Strong.</w:t>
            </w:r>
            <w:r>
              <w:t xml:space="preserve"> </w:t>
            </w:r>
            <w:r>
              <w:t xml:space="preserve">Obligation in force 13 months, not extended, and investor-facing by its own terms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Three Investor Charter PDFs untagged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Strong.</w:t>
            </w:r>
            <w:r>
              <w:t xml:space="preserve"> </w:t>
            </w:r>
            <w:r>
              <w:t xml:space="preserve">Obligation in force 13 months; corroborated by an independent tool; documents retrieved, hashed and dated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accessibility statement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Weak as a compliance point</w:t>
            </w:r>
            <w:r>
              <w:t xml:space="preserve"> </w:t>
            </w:r>
            <w:r>
              <w:t xml:space="preserve">— none is required. Meaningful only as a transparency observation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Nodal Officer discoverable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Moderate.</w:t>
            </w:r>
            <w:r>
              <w:t xml:space="preserve"> </w:t>
            </w:r>
            <w:r>
              <w:t xml:space="preserve">Designation required; publication is not, in terms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Charter lacks the digital accessibility right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Held.</w:t>
            </w:r>
            <w:r>
              <w:t xml:space="preserve"> </w:t>
            </w:r>
            <w:r>
              <w:t xml:space="preserve">Points at the regulator, not the entity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Automated scan results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assertable.</w:t>
            </w:r>
            <w:r>
              <w:t xml:space="preserve"> </w:t>
            </w:r>
            <w:r>
              <w:t xml:space="preserve">Unverified by hand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X95c1f20b58f503007d4ca1e1780b5f225c10123"/>
    <w:p>
      <w:pPr>
        <w:pStyle w:val="Heading2"/>
      </w:pPr>
      <w:r>
        <w:t xml:space="preserve">A methodology failure caught in the course of this walkthrough</w:t>
      </w:r>
    </w:p>
    <w:p>
      <w:pPr>
        <w:pStyle w:val="FirstParagraph"/>
      </w:pPr>
      <w:r>
        <w:t xml:space="preserve">The first live re-verification of the three PDFs reported zero fonts, zero images and zero</w:t>
      </w:r>
      <w:r>
        <w:t xml:space="preserve"> </w:t>
      </w:r>
      <w:r>
        <w:t xml:space="preserve">extractable text — which would have supported a claim that they are unreadable scanned</w:t>
      </w:r>
      <w:r>
        <w:t xml:space="preserve"> </w:t>
      </w:r>
      <w:r>
        <w:t xml:space="preserve">images. That claim would have been</w:t>
      </w:r>
      <w:r>
        <w:t xml:space="preserve"> </w:t>
      </w:r>
      <w:r>
        <w:rPr>
          <w:b/>
          <w:bCs/>
        </w:rPr>
        <w:t xml:space="preserve">false</w:t>
      </w:r>
      <w:r>
        <w:t xml:space="preserve">.</w:t>
      </w:r>
    </w:p>
    <w:p>
      <w:pPr>
        <w:pStyle w:val="BodyText"/>
      </w:pPr>
      <w:r>
        <w:t xml:space="preserve">The cause was ours: the request omitted</w:t>
      </w:r>
      <w:r>
        <w:t xml:space="preserve"> </w:t>
      </w:r>
      <w:r>
        <w:rPr>
          <w:rStyle w:val="VerbatimChar"/>
        </w:rPr>
        <w:t xml:space="preserve">--compressed</w:t>
      </w:r>
      <w:r>
        <w:t xml:space="preserve">, the server returned gzip-encoded</w:t>
      </w:r>
      <w:r>
        <w:t xml:space="preserve"> </w:t>
      </w:r>
      <w:r>
        <w:t xml:space="preserve">responses, and the analysis ran against compressed bytes. The tell was that</w:t>
      </w:r>
      <w:r>
        <w:t xml:space="preserve"> </w:t>
      </w:r>
      <w:r>
        <w:rPr>
          <w:rStyle w:val="VerbatimChar"/>
        </w:rPr>
        <w:t xml:space="preserve">file</w:t>
      </w:r>
      <w:r>
        <w:t xml:space="preserve"> </w:t>
      </w:r>
      <w:r>
        <w:t xml:space="preserve">reported</w:t>
      </w:r>
      <w:r>
        <w:t xml:space="preserve"> </w:t>
      </w:r>
      <w:r>
        <w:rPr>
          <w:rStyle w:val="VerbatimChar"/>
        </w:rPr>
        <w:t xml:space="preserve">gzip compressed data, original size 862316</w:t>
      </w:r>
      <w:r>
        <w:t xml:space="preserve"> </w:t>
      </w:r>
      <w:r>
        <w:t xml:space="preserve">— matching the earlier scan’s byte count exactly.</w:t>
      </w:r>
    </w:p>
    <w:p>
      <w:pPr>
        <w:pStyle w:val="BodyText"/>
      </w:pPr>
      <w:r>
        <w:t xml:space="preserve">Two rules follow, and both are now in the harness notes:</w:t>
      </w:r>
      <w:r>
        <w:t xml:space="preserve"> </w:t>
      </w:r>
      <w:r>
        <w:t xml:space="preserve">1. Always send</w:t>
      </w:r>
      <w:r>
        <w:t xml:space="preserve"> </w:t>
      </w:r>
      <w:r>
        <w:rPr>
          <w:rStyle w:val="VerbatimChar"/>
        </w:rPr>
        <w:t xml:space="preserve">--compressed</w:t>
      </w:r>
      <w:r>
        <w:t xml:space="preserve">, and assert the</w:t>
      </w:r>
      <w:r>
        <w:t xml:space="preserve"> </w:t>
      </w:r>
      <w:r>
        <w:rPr>
          <w:rStyle w:val="VerbatimChar"/>
        </w:rPr>
        <w:t xml:space="preserve">%PDF</w:t>
      </w:r>
      <w:r>
        <w:t xml:space="preserve"> </w:t>
      </w:r>
      <w:r>
        <w:t xml:space="preserve">magic bytes before analysing a PDF.</w:t>
      </w:r>
      <w:r>
        <w:t xml:space="preserve"> </w:t>
      </w:r>
      <w:r>
        <w:t xml:space="preserve">2. Corroborate any adverse document finding with a second, independent tool before it leaves</w:t>
      </w:r>
      <w:r>
        <w:t xml:space="preserve"> </w:t>
      </w:r>
      <w:r>
        <w:t xml:space="preserve">the building.</w:t>
      </w:r>
      <w:r>
        <w:t xml:space="preserve"> </w:t>
      </w:r>
      <w:r>
        <w:rPr>
          <w:rStyle w:val="VerbatimChar"/>
        </w:rPr>
        <w:t xml:space="preserve">pdfinfo</w:t>
      </w:r>
      <w:r>
        <w:t xml:space="preserve">’s</w:t>
      </w:r>
      <w:r>
        <w:t xml:space="preserve"> </w:t>
      </w:r>
      <w:r>
        <w:rPr>
          <w:rStyle w:val="VerbatimChar"/>
        </w:rPr>
        <w:t xml:space="preserve">Tagged:</w:t>
      </w:r>
      <w:r>
        <w:t xml:space="preserve"> </w:t>
      </w:r>
      <w:r>
        <w:t xml:space="preserve">field is what confirms the real result here.</w:t>
      </w:r>
    </w:p>
    <w:p>
      <w:r>
        <w:pict>
          <v:rect style="width:0;height:1.5pt" o:hralign="center" o:hrstd="t" o:hr="t"/>
        </w:pict>
      </w:r>
    </w:p>
    <w:bookmarkEnd w:id="18"/>
    <w:bookmarkStart w:id="20" w:name="right-of-reply-status-stated-accurately"/>
    <w:p>
      <w:pPr>
        <w:pStyle w:val="Heading2"/>
      </w:pPr>
      <w:r>
        <w:t xml:space="preserve">Right of reply — status, stated accurately</w:t>
      </w:r>
    </w:p>
    <w:p>
      <w:pPr>
        <w:pStyle w:val="FirstParagraph"/>
      </w:pPr>
      <w:r>
        <w:t xml:space="preserve">Motilal Oswal Financial Services Limited has</w:t>
      </w:r>
      <w:r>
        <w:t xml:space="preserve"> </w:t>
      </w:r>
      <w:r>
        <w:rPr>
          <w:b/>
          <w:bCs/>
        </w:rPr>
        <w:t xml:space="preserve">not been contacted</w:t>
      </w:r>
      <w:r>
        <w:t xml:space="preserve"> </w:t>
      </w:r>
      <w:r>
        <w:t xml:space="preserve">as at 20 August 2026.</w:t>
      </w:r>
    </w:p>
    <w:p>
      <w:pPr>
        <w:pStyle w:val="BodyText"/>
      </w:pPr>
      <w:r>
        <w:t xml:space="preserve">This document is published as</w:t>
      </w:r>
      <w:r>
        <w:t xml:space="preserve"> </w:t>
      </w:r>
      <w:r>
        <w:rPr>
          <w:b/>
          <w:bCs/>
        </w:rPr>
        <w:t xml:space="preserve">working evidence</w:t>
      </w:r>
      <w:r>
        <w:t xml:space="preserve">, not as a finished assessment: it exists</w:t>
      </w:r>
      <w:r>
        <w:t xml:space="preserve"> </w:t>
      </w:r>
      <w:r>
        <w:t xml:space="preserve">so that the method can be inspected and disputed before any conclusion is drawn from it. It</w:t>
      </w:r>
      <w:r>
        <w:t xml:space="preserve"> </w:t>
      </w:r>
      <w:r>
        <w:t xml:space="preserve">carries no score and no compliance determination.</w:t>
      </w:r>
    </w:p>
    <w:p>
      <w:pPr>
        <w:pStyle w:val="BodyText"/>
      </w:pPr>
      <w:r>
        <w:rPr>
          <w:b/>
          <w:bCs/>
        </w:rPr>
        <w:t xml:space="preserve">Before any of this appears as a scored entity profile, or in any article, the entity will</w:t>
      </w:r>
      <w:r>
        <w:rPr>
          <w:b/>
          <w:bCs/>
        </w:rPr>
        <w:t xml:space="preserve"> </w:t>
      </w:r>
      <w:r>
        <w:rPr>
          <w:b/>
          <w:bCs/>
        </w:rPr>
        <w:t xml:space="preserve">be given notice and an opportunity to respond</w:t>
      </w:r>
      <w:r>
        <w:t xml:space="preserve">, and any response will be reproduced in full</w:t>
      </w:r>
      <w:r>
        <w:t xml:space="preserve"> </w:t>
      </w:r>
      <w:r>
        <w:t xml:space="preserve">and unedited alongside the findings. That step has not yet been taken and is recorded here</w:t>
      </w:r>
      <w:r>
        <w:t xml:space="preserve"> </w:t>
      </w:r>
      <w:r>
        <w:t xml:space="preserve">as outstanding.</w:t>
      </w:r>
    </w:p>
    <w:p>
      <w:pPr>
        <w:pStyle w:val="BodyText"/>
      </w:pPr>
      <w:r>
        <w:t xml:space="preserve">Corrections may be raised at any time via the</w:t>
      </w:r>
      <w:r>
        <w:t xml:space="preserve"> </w:t>
      </w:r>
      <w:hyperlink r:id="rId19">
        <w:r>
          <w:rPr>
            <w:rStyle w:val="Hyperlink"/>
          </w:rPr>
          <w:t xml:space="preserve">score dispute form</w:t>
        </w:r>
      </w:hyperlink>
      <w:r>
        <w:t xml:space="preserve">. A demonstrated error</w:t>
      </w:r>
      <w:r>
        <w:t xml:space="preserve"> </w:t>
      </w:r>
      <w:r>
        <w:t xml:space="preserve">is corrected with the correction noted, never silently.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I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../../.github/ISSUE_TEMPLATE/dispute-a-score.yml" TargetMode="External" /><Relationship Type="http://schemas.openxmlformats.org/officeDocument/2006/relationships/hyperlink" Id="rId14" Target="../../regulation/open-question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../../.github/ISSUE_TEMPLATE/dispute-a-score.yml" TargetMode="External" /><Relationship Type="http://schemas.openxmlformats.org/officeDocument/2006/relationships/hyperlink" Id="rId14" Target="../../regulation/open-question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2026-08-20T09:38:20Z</dcterms:created>
  <dcterms:modified xsi:type="dcterms:W3CDTF">2026-08-20T09:38:20Z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