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Miami,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site-solute-years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for this study: linear interpolation (LI), Beale ratio, rating, and composite. These methods are archetypal of the array of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that regression is shown inset.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0.82 mg/L with a standard </w:t>
        <w:lastRenderedPageBreak/>
        <w:t xml:space="preserve">deviation of 0.21 mg/L. The Ca time series was complete for the year, with no missing days in the underlying specific conductance dataset. The NO</w:t>
      </w:r>
      <w:r>
        <w:rPr>
          <w:color w:val="auto"/>
          <w:vertAlign w:val="subscript"/>
        </w:rPr>
        <w:t>3</w:t>
      </w:r>
      <w:r>
        <w:rPr>
          <w:color w:val="auto"/>
        </w:rPr>
        <w:t xml:space="preserve">-N time series had 14 days with incomplete data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0.82 mg/L and a standard deviation of 0.21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41 incomplete days, and the nitrate time series had 52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107.6 Lps, a standard deviation of 134.6 Lps, and a yield of 3.4 x 10</w:t>
      </w:r>
      <w:r>
        <w:rPr>
          <w:color w:val="auto"/>
          <w:vertAlign w:val="superscript"/>
        </w:rPr>
        <w:t>9</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daily means of the full, high-frequency time series (as recommended in Aulenbach et al. 2016). Because the composite method also serves as our reference, its coarsening results should be read as a measure of sensitivity to sampling frequency rather than as an independent test of accuracy.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are larger than HBEF watershed 3, and all but WALK are substantially larger than the Upper Hafren catchment.</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country,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146 sites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Both autocorrelations were evaluated as absolute values at lag one. Next, we sorted each solute year using a cutoff of 0.30 for the model R-squared. Years with a model R-squared greater than </w:t>
        <w:lastRenderedPageBreak/>
        <w:t xml:space="preserve">0.30 were designated as having “strong to moderate” fits, while years with an R-squared of 0.30 or lower were designated as having “weak to nonexistent” fits. Solute years with a “strong to moderate” fit and autocorrelated residuals (&gt;0.20) are recommended to use the composite method, and those without or with weak autocorrelation (≤0.20) were recommended to use the rating method. Solute years with a “weak to nonexistent” C:Q fits and autocorrelated concentrations (&gt;0.20) were recommended to use linear interpolation, while those without or with weak autocorrelation of concentrations (≤0.20)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the Beale ratio estimator also maintaining relatively low bias.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 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near-zero bias across sampling frequencies. Linear interpolation exhibited a persistent positive bias (~20%).</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the composite method produced the most accurate estimates across sampling frequencies, consistent with the Aulenbach et al. (2016) recommendation based on the strong (~0.79) R-squared of the C:Q model fit. The rating method showed a consistent negative bias (~5%), because the simple linear C:Q model does not fully capture the diluting relationship at high flows visible in Figure 3, but the composite method’s residual corrections compensated for this systematic error. Linear interpolation exhibited a persistent positive bias (~20%), and the Beale ratio estimator was nearly unbiased but showed increasing variance at coarser frequencies.</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r>
        <w:t xml:space="preserve">We tested conductivity at six first-order NEON sites (COMO, CUPE, KING, MAYF, TECR, WALK) and turbidity at five of these (all except COMO)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load estimates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11,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0.74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accurate estimates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is likely suitable for inter-site comparisons at large scales. Data binned as “medium” should only be used for limited applications. For example, they could be used in aggregated regional estimates of weathering rates. Data binned as “complex” should not be used without the user learning more about the site. It is possible that estimates rated as “complex” 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the ratio of a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site-solute-years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ns5:anchorId="66E9D5FD" ns5: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very robust, giving ‘good’ quality estimates even with highly variable data.</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yields usable estimates with sub-weekly sampling.</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Histograms of annual calcium and nitrate-N load estimates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