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Miami,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site-solute-years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and Buso,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2009;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1987;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1987;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2015).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1987; Appling et al. 2015; </w:t>
      </w:r>
    </w:p>
    <w:p w14:paraId="79C43ECC" w14:textId="274E9638" w:rsidR="00C7505C" w:rsidRPr="00394DF4" w:rsidRDefault="00A52C6D">
      <w:pPr>
        <w:ind w:left="-5" w:right="365"/>
        <w:rPr>
          <w:color w:val="auto"/>
        </w:rPr>
      </w:pPr>
      <w:r>
        <w:rPr>
          <w:color w:val="auto"/>
        </w:rPr>
        <w:t xml:space="preserve">Aulenbach et al., 2016; Schilling et al., 2017), but those efforts have either focused on large watersheds (Pellerin et al., 2014, Appling et al., 2015; Schilling et al., 2017) or on choosing the best method possible for a given time series (Richards and Holloway, 1987;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(Neal et al., 2013),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for this study: linear interpolation (LI), Beale ratio, rating, and composite. These methods are archetypal of the array of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The summed product is divided by watershed area to give the areal load in kg/ha/year.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(Aulenbach et al., 2016). For example, this approach has been used to estimate fluxes of nutrients and suspended sediments in the Santa Ynez Mountains (Coombs and Melack, 2013)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(Hubbard Brook Watershed Ecosystem Record, 2023).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that regression is shown inset.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0.82 mg/L with a standard </w:t>
        <w:lastRenderedPageBreak/>
        <w:t xml:space="preserve">deviation of 0.21 mg/L. The Ca time series was complete for the year, with no missing days in the underlying specific conductance dataset. The NO</w:t>
      </w:r>
      <w:r>
        <w:rPr>
          <w:color w:val="auto"/>
          <w:vertAlign w:val="subscript"/>
        </w:rPr>
        <w:t>3</w:t>
      </w:r>
      <w:r>
        <w:rPr>
          <w:color w:val="auto"/>
        </w:rPr>
        <w:t xml:space="preserve">-N time series had 14 days with incomplete data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0.82 mg/L and a standard deviation of 0.21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41 incomplete days, and the nitrate time series had 52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107.6 Lps, a standard deviation of 134.6 Lps, and a yield of 3.4 x 10</w:t>
      </w:r>
      <w:r>
        <w:rPr>
          <w:color w:val="auto"/>
          <w:vertAlign w:val="superscript"/>
        </w:rPr>
        <w:t>9</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up to approximately daily in one-hour increments (15 minutes, then 1.25, 2.25, …, 22.25 hours), from daily to weekly by day (sampled every day, every other day, every third day, …, every seventh day), and then at approximately 37-day and 68-day intervals,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daily mean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daily means of the full, high-frequency time series (as recommended in Aulenbach et al. 2016). Because the composite method also serves as our reference, its coarsening results should be read as a measure of sensitivity to sampling frequency rather than as an independent test of accuracy.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pPr>
        <w:pStyle w:val="Heading3"/>
        <w:ind w:left="687" w:hanging="702"/>
        <w:rPr>
          <w:color w:val="auto"/>
        </w:rPr>
      </w:pPr>
      <w:r>
        <w:rPr>
          <w:color w:val="auto"/>
        </w:rPr>
        <w:t xml:space="preserve">Comparison with a sensor-derived record</w:t>
      </w:r>
    </w:p>
    <w:p>
      <w:pPr>
        <w:ind w:left="-5" w:right="365"/>
        <w:rPr>
          <w:color w:val="auto"/>
        </w:rPr>
      </w:pPr>
      <w:r>
        <w:rPr>
          <w:color w:val="auto"/>
        </w:rPr>
        <w:t xml:space="preserve">To test whether our simplified decision framework selects a defensible method without access to high-frequency data, we compared load estimates derived from routine grab samples at Hubbard Brook Watershed 3 against a sensor-derived reference. Grab-sample estimates were taken from the MacroSheds record for the site, which holds roughly 52 calcium samples per water year, and were computed with each of the methods described above. The sensor-derived reference was calculated by converting 15-minute specific conductance to calcium using the regression described above, multiplying by discharge at each timestep, and summing over the water year. Published Hubbard Brook monthly flux values (Hubbard Brook Watershed Ecosystem Record, 2023) are included for reference. The comparison covers the five water years (2013-2017) for which both the sensor record and the grab-sample record are complete.</w:t>
      </w: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are larger than HBEF watershed 3, and all but WALK are substantially larger than the Upper Hafren catchment.</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country,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146 sites      </w:t>
      </w:r>
    </w:p>
    <w:p>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the revision used here; the latest version is linked at macrosheds.org. The dataset includes harmonized data from 93 federally funded watershed studies from across the United States (Vlah et al., 2023).</w:t>
      </w:r>
    </w:p>
    <w:p>
      <w:pPr>
        <w:spacing w:after="575"/>
        <w:ind w:left="-5" w:right="365"/>
        <w:rPr>
          <w:color w:val="auto"/>
        </w:rPr>
      </w:pPr>
      <w:r>
        <w:rPr>
          <w:color w:val="auto"/>
        </w:rPr>
        <w:t xml:space="preserve">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Both autocorrelations were evaluated as absolute values at lag one. Each solute year was then assigned a recommended method using cutoffs of 0.30 for the model R-squared and 0.20 for autocorrelation, as summarized in Table 2.</w:t>
      </w:r>
    </w:p>
    <w:p>
      <w:pPr>
        <w:spacing w:after="228" w:line="250" w:lineRule="auto"/>
        <w:ind w:left="-5" w:right="364"/>
        <w:rPr>
          <w:i/>
          <w:color w:val="auto"/>
          <w:sz w:val="18"/>
        </w:rPr>
      </w:pPr>
      <w:r>
        <w:rPr>
          <w:i/>
          <w:color w:val="auto"/>
          <w:sz w:val="18"/>
        </w:rPr>
        <w:t xml:space="preserve">Table 2: Simplified application of the Aulenbach et al. (2016) decision framework, used to assign a recommended load estimation method to each solute site-year. R-squared is from a log-log linear model of concentration against discharge; both autocorrelations are absolute values at lag one.</w:t>
      </w:r>
    </w:p>
    <w:tbl>
      <w:tblPr>
        <w:tblStyle w:val="TableGrid"/>
        <w:tblW w:w="0" w:type="auto"/>
        <w:tblInd w:w="-5" w:type="dxa"/>
        <w:tblLook w:val="04A0" w:firstRow="1" w:lastRow="0" w:firstColumn="1" w:lastColumn="0" w:noHBand="0" w:noVBand="1"/>
      </w:tblPr>
      <w:tblGrid>
        <w:gridCol w:w="1700"/>
        <w:gridCol w:w="1900"/>
        <w:gridCol w:w="1900"/>
        <w:gridCol w:w="1787"/>
      </w:tblGrid>
      <w:tr>
        <w:tc>
          <w:tcPr>
            <w:tcW w:w="1700" w:type="dxa"/>
          </w:tcPr>
          <w:p>
            <w:pPr>
              <w:spacing w:after="228" w:line="250" w:lineRule="auto"/>
              <w:ind w:left="0" w:right="364" w:firstLine="0"/>
              <w:jc w:val="center"/>
              <w:rPr>
                <w:iCs/>
                <w:color w:val="auto"/>
                <w:sz w:val="24"/>
              </w:rPr>
            </w:pPr>
            <w:r>
              <w:rPr>
                <w:iCs/>
                <w:color w:val="auto"/>
                <w:sz w:val="24"/>
              </w:rPr>
              <w:t xml:space="preserve">C:Q fit (R-squared)</w:t>
            </w:r>
          </w:p>
        </w:tc>
        <w:tc>
          <w:tcPr>
            <w:tcW w:w="1900" w:type="dxa"/>
          </w:tcPr>
          <w:p>
            <w:pPr>
              <w:spacing w:after="228" w:line="250" w:lineRule="auto"/>
              <w:ind w:left="0" w:right="364" w:firstLine="0"/>
              <w:jc w:val="center"/>
              <w:rPr>
                <w:iCs/>
                <w:color w:val="auto"/>
                <w:sz w:val="24"/>
              </w:rPr>
            </w:pPr>
            <w:r>
              <w:rPr>
                <w:iCs/>
                <w:color w:val="auto"/>
                <w:sz w:val="24"/>
              </w:rPr>
              <w:t xml:space="preserve">Residual autocorrelation</w:t>
            </w:r>
          </w:p>
        </w:tc>
        <w:tc>
          <w:tcPr>
            <w:tcW w:w="1900" w:type="dxa"/>
          </w:tcPr>
          <w:p>
            <w:pPr>
              <w:spacing w:after="228" w:line="250" w:lineRule="auto"/>
              <w:ind w:left="0" w:right="364" w:firstLine="0"/>
              <w:jc w:val="center"/>
              <w:rPr>
                <w:iCs/>
                <w:color w:val="auto"/>
                <w:sz w:val="24"/>
              </w:rPr>
            </w:pPr>
            <w:r>
              <w:rPr>
                <w:iCs/>
                <w:color w:val="auto"/>
                <w:sz w:val="24"/>
              </w:rPr>
              <w:t xml:space="preserve">Concentration autocorrelation</w:t>
            </w:r>
          </w:p>
        </w:tc>
        <w:tc>
          <w:tcPr>
            <w:tcW w:w="1787" w:type="dxa"/>
          </w:tcPr>
          <w:p>
            <w:pPr>
              <w:spacing w:after="228" w:line="250" w:lineRule="auto"/>
              <w:ind w:left="0" w:right="364" w:firstLine="0"/>
              <w:jc w:val="center"/>
              <w:rPr>
                <w:iCs/>
                <w:color w:val="auto"/>
                <w:sz w:val="24"/>
              </w:rPr>
            </w:pPr>
            <w:r>
              <w:rPr>
                <w:iCs/>
                <w:color w:val="auto"/>
                <w:sz w:val="24"/>
              </w:rPr>
              <w:t xml:space="preserve">Recommended method</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Composite</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Rating</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787" w:type="dxa"/>
          </w:tcPr>
          <w:p>
            <w:pPr>
              <w:spacing w:after="228" w:line="250" w:lineRule="auto"/>
              <w:ind w:left="0" w:right="364" w:firstLine="0"/>
              <w:rPr>
                <w:iCs/>
                <w:color w:val="auto"/>
                <w:sz w:val="18"/>
              </w:rPr>
            </w:pPr>
            <w:r>
              <w:rPr>
                <w:iCs/>
                <w:color w:val="auto"/>
                <w:sz w:val="18"/>
              </w:rPr>
              <w:t xml:space="preserve">Linear interpolation</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≤0.20</w:t>
            </w:r>
          </w:p>
        </w:tc>
        <w:tc>
          <w:tcPr>
            <w:tcW w:w="1787" w:type="dxa"/>
          </w:tcPr>
          <w:p>
            <w:pPr>
              <w:spacing w:after="228" w:line="250" w:lineRule="auto"/>
              <w:ind w:left="0" w:right="364" w:firstLine="0"/>
              <w:rPr>
                <w:iCs/>
                <w:color w:val="auto"/>
                <w:sz w:val="18"/>
              </w:rPr>
            </w:pPr>
            <w:r>
              <w:rPr>
                <w:iCs/>
                <w:color w:val="auto"/>
                <w:sz w:val="18"/>
              </w:rPr>
              <w:t xml:space="preserve">Simple average</w:t>
            </w:r>
          </w:p>
        </w:tc>
      </w:tr>
    </w:tbl>
    <w:p>
      <w:pPr>
        <w:spacing w:after="575"/>
        <w:ind w:left="-5" w:right="365"/>
        <w:rPr>
          <w:color w:val="auto"/>
        </w:rPr>
      </w:pPr>
      <w:r>
        <w:rPr>
          <w:color w:val="auto"/>
        </w:rPr>
        <w:t xml:space="preserve">Only sites with 85% or more days of discharge coverage and at least one chemistry sample per water year quarter were used to calculate loads.</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and the composite method are both near-unbiased at daily sampling, while the composite method and Beale ratio estimator retain the lowest bias as sampling coarsens; the rating method is poor at every frequency.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across the full range of sampling frequencies, with accurate median estimates and a relatively low range of potential estimates. Linear interpolation performed comparably with sub-weekly data, with a median error below 1% at daily sampling, but degraded more quickly than the composite method as sampling coarsened, reaching roughly -27% at bimonthly intervals against the composite method’s -16%.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Looking at the C:Q relationship presented in Figure 3, we see that while the fit is poor, there is still an informative, enriching pattern that the composite method leverages for more accurate interpolation than simple linear interpolation. While relying on the fit alone (the rating method) produces uniformly poor results, with median errors near -35% at every sampling frequency,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all four methods remain within about 8% of truth at every sampling frequency for this solute year. The Beale ratio estimator shows the least bias at the coarsest frequencies, the composite and rating methods settle near -5%, and linear interpolation drifts positive as sampling coarsens.</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every method estimated annual load to within about 8% of truth at all sampling frequencies, reflecting the strong (~0.79) R-squared of the C:Q model fit. The rating method showed a consistent negative bias (~5%), because the simple linear C:Q model does not fully capture the diluting relationship at high flows visible in Figure 3. The composite method’s residual corrections removed that bias at daily sampling, where its median error was below 1%, but converged toward the rating method’s roughly -5% as sampling coarsened and fewer observations remained to correct against. Linear interpolation was similarly accurate at daily sampling and drifted positive with coarsening, reaching about +8% at bimonthly intervals, while the Beale ratio estimator was the least biased at coarse frequencies but showed increasing variance.</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calcium, the Beale ratio estimator produced the least biased median estimates at coarse sampling frequencies, at the cost of high estimate variance. Due to the underlying assumption of covariance of discharge variance and concentration variance (Beale, 1962), the method performed more accurately on the Ca time series than the NO</w:t>
      </w:r>
      <w:r>
        <w:rPr>
          <w:color w:val="auto"/>
          <w:vertAlign w:val="subscript"/>
        </w:rPr>
        <w:t>3</w:t>
      </w:r>
      <w:r>
        <w:rPr>
          <w:color w:val="auto"/>
        </w:rPr>
        <w:t xml:space="preserve">-N time series, where its median error grew to roughly -19% at bimonthly sampling. </w:t>
      </w:r>
    </w:p>
    <w:p w14:paraId="1820045D" w14:textId="77777777" w:rsidR="00C7505C" w:rsidRPr="00394DF4" w:rsidRDefault="00A52C6D">
      <w:pPr>
        <w:spacing w:after="22"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composite and linear interpolation methods at fine sampling frequencies, with the composite method and Beale ratio estimator holding up best as data were coarsened.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r>
        <w:t xml:space="preserve">We tested conductivity at six first-order NEON sites (COMO, CUPE, KING, MAYF, TECR, WALK) and turbidity at five of these (all except COMO)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load estimates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with the corresponding distribution of recommended-method estimates in Figure A10 and the spread between methods in Figure A11. The complete load calculations from each solute and site-year of MacroSheds data are available at https://doi.org/10.6084/m9.figshare.24975504.v2. </w:t>
      </w:r>
    </w:p>
    <w:p w14:paraId="414F6C5E" w14:textId="77777777" w:rsidR="00AD3C85" w:rsidRPr="00394DF4" w:rsidRDefault="00AD3C85">
      <w:pPr>
        <w:ind w:left="-5" w:right="365"/>
        <w:rPr>
          <w:color w:val="auto"/>
        </w:rPr>
      </w:pPr>
    </w:p>
    <w:p>
      <w:pPr>
        <w:pStyle w:val="Heading2"/>
        <w:ind w:left="518" w:hanging="533"/>
        <w:rPr>
          <w:color w:val="auto"/>
        </w:rPr>
      </w:pPr>
      <w:r>
        <w:rPr>
          <w:color w:val="auto"/>
        </w:rPr>
        <w:t xml:space="preserve">Sensor-derived load comparison</w:t>
      </w:r>
    </w:p>
    <w:p>
      <w:pPr>
        <w:ind w:left="-5" w:right="365"/>
        <w:rPr>
          <w:color w:val="auto"/>
        </w:rPr>
      </w:pPr>
      <w:r>
        <w:rPr>
          <w:color w:val="auto"/>
        </w:rPr>
        <w:t xml:space="preserve">Estimates computed from routine grab samples agreed with the sensor-derived reference across the five overlapping water years (Figure 11). The recommended method tracked the sensor record with an R-squared of 0.79 and a slope of 1.15 ± 0.34 (p = 0.04), but averaged about 16% above the sensor-derived load. The rating method and Beale ratio estimator fell closest to the reference, within about 1%, while the composite method averaged about 21% high and linear interpolation about 3% high. The same comparison is shown as an annual time series in Figure A12.</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11, other single methods also provide reasonable estimates. However, it would be difficult to confidently assess their relative effectiveness without a sensor derived “truth” for comparison. </w:t>
      </w:r>
    </w:p>
    <w:p w14:paraId="44F880D2" w14:textId="3180DC81" w:rsidR="00C7505C" w:rsidRPr="00394DF4" w:rsidRDefault="00A52C6D">
      <w:pPr>
        <w:ind w:left="-5" w:right="365"/>
        <w:rPr>
          <w:color w:val="auto"/>
        </w:rPr>
      </w:pPr>
      <w:r>
        <w:rPr>
          <w:color w:val="auto"/>
        </w:rPr>
        <w:t xml:space="preserve">The agreement shown in Figure 11 supports the view that the Aulenbach et al. (2016) decision flowchart selects a defensible method without requiring outside data. With only five overlapping water years this comparison is best read as a case study rather than a validation, and the residual bias in the recommended estimates is a reminder that a defensible choice is not always the most accurate one.</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when there is not a strong C:Q relationship, users can rely on linear interpolation or averaging methods provided sampling is frequent. For nitrate at Hubbard Brook the low (~0.07) R-squared of the C:Q fit would lead the Aulenbach et al. (2016) guidelines to recommend exactly that, and our results support the recommendation at daily sampling, where linear interpolation matched the composite method to within 1% of truth. At coarser frequencies the recommendation no longer held, because the composite method’s residual corrections retained more of the underlying C:Q information than interpolation alone. Non-linear changes in C:Q relationships and storm responses have been found to reduce load estimate quality (Fazekas et al., 2021), which the composite method’s residual corrections help to mitigate. Users with coarse data interested primarily in reducing bias, rather than error, should consider using Beale derived estimates.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estimates within about 5% of truth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more than 30 percent, and by over 70 percent for solutes with weak C:Q relationships such as turbidity. Therefore, load estimates provided without documentation of the underlying methodology should be treated with great caution or should be recomputed from chemistry and discharge using tools like the “RiverLoad” (Nava et al., 2019) and “MacroSheds” (Vlah et al., 2023)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is likely suitable for inter-site comparisons at large scales. Data binned as “medium” should only be used for limited applications. For example, they could be used in aggregated regional estimates of weathering rates. Data binned as “complex” should not be used without the user learning more about the site. It is possible that estimates rated as “complex” 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the ratio of a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all four methods were accurate at daily sampling, but the composite method and Beale ratio estimator degraded most gracefully as data were coarsened, while linear interpolation and the rating method did not.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site-solute-years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(Neal et al., 2013). Versioned code and the underlying dataset and workflow used for the analysis is available at https://github.com/ecogub/RSFME</w:t>
      </w:r>
      <w:hyperlink r:id="rId8">
        <w:r>
          <w:rPr>
            <w:color w:val="auto"/>
          </w:rPr>
          <w:t>.</w:t>
        </w:r>
      </w:hyperlink>
      <w:r>
        <w:rPr>
          <w:color w:val="auto"/>
        </w:rPr>
        <w:t xml:space="preserve"> Resulting load calculations are hosted publicly at https://doi.org/10.6084/m9.figshare.24975504.v2.  </w:t>
      </w:r>
    </w:p>
    <w:p w14:paraId="541D9D72" w14:textId="77777777" w:rsidR="00C7505C" w:rsidRPr="00394DF4" w:rsidRDefault="00A52C6D">
      <w:pPr>
        <w:pStyle w:val="Heading1"/>
        <w:spacing w:after="142"/>
        <w:ind w:left="319" w:hanging="334"/>
        <w:rPr>
          <w:color w:val="auto"/>
        </w:rPr>
      </w:pPr>
      <w:r>
        <w:rPr>
          <w:color w:val="auto"/>
        </w:rPr>
        <w:t xml:space="preserve">References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 A</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with the lowest median error of any method at monthly sampling, though the two are comparable in spread at the coarsest frequencies.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the least biased of the four methods at weekly sampling, but it is not robust to the variability in turbidity: its median error reaches about -41% at monthly sampling, and over half of repetitions exceed 50% error at biweekly or coarser intervals.</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keeps median error near zero at daily sampling and around -16% at weekly sampling, before degrading sharply at coarser intervals.</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Histograms of annual calcium and nitrate-N load estimates in the MacroSheds dataset. The complete load calculations from each solute and site-year of MacroSheds data are available at </w:t>
      </w:r>
      <w:r>
        <w:rPr>
          <w:color w:val="auto"/>
          <w:sz w:val="18"/>
        </w:rPr>
        <w:t>https://doi.org/10.6084/m9.figshare.24975504.v2</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p w14:paraId="000DBC69" w14:textId="000DBCCD"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1" ns5:editId="000DBC05">
            <wp:extent cx="5267325" cy="3255232"/>
            <wp:effectExtent l="0" t="0" r="0" b="0"/>
            <wp:docPr id="900001"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7"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A10: Distribution of annual load estimates for calcium and nitrate (as nitrogen) across the MacroSheds dataset, using the method recommended by our application of the Aulenbach et al. (2016) framework for each solute site-year.</w:t>
      </w:r>
    </w:p>
    <w:p w14:paraId="000DBC6A" w14:textId="000DBCCE"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2" ns5:editId="000DBC06">
            <wp:extent cx="5267325" cy="3255232"/>
            <wp:effectExtent l="0" t="0" r="0" b="0"/>
            <wp:docPr id="900002" name="Picture 2"/>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8"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A11: Percentage spread between the highest and lowest load estimation methods for each calcium and nitrate solute site-year in the MacroSheds dataset, expressed relative to the midpoint of the two and shown on a log scale. Larger values indicate the solute years where the choice of method matters most.</w:t>
      </w:r>
    </w:p>
    <w:p w14:paraId="000DBC6B" w14:textId="000DBCCF"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3" ns5:editId="000DBC07">
            <wp:extent cx="5267325" cy="3255232"/>
            <wp:effectExtent l="0" t="0" r="0" b="0"/>
            <wp:docPr id="900003"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9"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A12: Annual calcium load at Hubbard Brook Watershed 3 estimated by each method for water years 2013-2017, shown alongside the sensor-derived reference and the published Hubbard Brook values. This presents the comparison in Figure 11 as a time series.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 Id="rId57" Type="http://schemas.openxmlformats.org/officeDocument/2006/relationships/image" Target="media/image61.png"/><Relationship Id="rId58" Type="http://schemas.openxmlformats.org/officeDocument/2006/relationships/image" Target="media/image62.png"/><Relationship Id="rId59"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