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et al.,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2008;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1986;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1986;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2014).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1986; Appling et al. 2015; </w:t>
      </w:r>
    </w:p>
    <w:p w14:paraId="79C43ECC" w14:textId="274E9638" w:rsidR="00C7505C" w:rsidRPr="00394DF4" w:rsidRDefault="00A52C6D">
      <w:pPr>
        <w:ind w:left="-5" w:right="365"/>
        <w:rPr>
          <w:color w:val="auto"/>
        </w:rPr>
      </w:pPr>
      <w:r>
        <w:rPr>
          <w:color w:val="auto"/>
        </w:rPr>
        <w:t xml:space="preserve">Aulenbach et al., 2016; Shilling et al., 2017; etc.), but those efforts have either focused on large watersheds (Pellerin et al., 2014, Appling et al., 2016; Schilling et al., 2017) or on choosing the best method possible for a given time series (Richards and Holloway, 1986;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this study: linear interpolation (LI), Beale ratio, rating, and composite. These methods are archetypal of the array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(Aulenbauch et al., 2016). For example, this approach has been used to estimate fluxes of nutrients and suspended sediments in the Santa Ynez Mountains (Coombs and Melack, 2012)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(40.2 hectare watershed area) and the Upper Hafren site (120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 regression line with no intercept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0.86 mg/L with a standard </w:t>
        <w:lastRenderedPageBreak/>
        <w:t xml:space="preserve">deviation of 0.23 mg/L. The Ca time series was complete for the year, with no missing days in the underlying specific conductance dataset. The NO</w:t>
      </w:r>
      <w:r>
        <w:rPr>
          <w:color w:val="auto"/>
          <w:vertAlign w:val="subscript"/>
        </w:rPr>
        <w:t>3</w:t>
      </w:r>
      <w:r>
        <w:rPr>
          <w:color w:val="auto"/>
        </w:rPr>
        <w:t xml:space="preserve">-N time series had 3 days with incomplete data (2/25/2016, 6/18/2016, and 6/23/2016)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0.86 mg/L and a standard deviation of 0.23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28 incomplete days, and the nitrate time series had 40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1.08 Lps, a standard deviation of 1.36 Lps, and a yield of 3.4 x 10</w:t>
      </w:r>
      <w:r>
        <w:rPr>
          <w:color w:val="auto"/>
          <w:vertAlign w:val="superscript"/>
        </w:rPr>
        <w:t>7</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the full, high-frequency time series (as recommended in Aulenbach et al. 2016).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zero order and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other than WALK are significantly larger than watersheds at HBEF or Plynlimon.</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93 watersheds      </w:t>
      </w:r>
    </w:p>
    <w:p w14:paraId="6E21C42D" w14:textId="273B75E5" w:rsidR="00C7505C" w:rsidRPr="00394DF4" w:rsidRDefault="00A52C6D">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and the latest version is linked at macrosheds.org. The dataset includes harmonized data from 93 federally funded watershed studies from across the United States (Vlah et al., 2023). 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Next, we sorted each solute year using a cutoff of 0.30 for the model R-squared. Years with a model R-squared greater than or </w:t>
        <w:lastRenderedPageBreak/>
        <w:t xml:space="preserve">equal to 0.30 were designated as having “strong to moderate” fits, while years with Rsquared lower than 0.30 were designated as having “weak to nonexistent” fits. Solute years with a “strong to moderate” fit and autocorrelated residuals (&gt;=0.20) are recommended to use the composite method, and those without or with weak autocorrelation (&lt;0.20) were recommended to use the rating method. Solute years with a “weak to nonexistent” C:Q fits and autocorrelated concentrations (&gt;=0.20) were recommended to use linear interpolation, while those without or with weak autocorrelation of concentrations (&lt;0.20) were recommended to use a simple average. Only sites with 85% or more days of discharge coverage and at least one chemistry sample per water year quarter were used to calculate loads. </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the Beale ratio estimator also maintaining relatively low bias.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with accurate median estimates and a relatively low range of potential estimates. Linear interpolation performed comparably with sub-weekly data.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This is contrary to the guidelines suggested by Aulenbach et al. (2016),which—based on the low (~0.07) R-squared of the model fit—would recommend linear interpolation or averaging. Looking at the C:Q relationship presented in Figure 3, we see that while the fit is poor, there is still an informative, enriching pattern that the composite method leverages for more accurate interpolation than simple linear interpolation. Non-linear changes in C:Q relationships and storm responses have been found to reduce load estimate quality (Fazekas et al., 2021), which the composite method’s residual corrections help to mitigate. While relying on the fit alone (the rating method) produces uniformly poor results,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0.98 and a slope of 0.063.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near-zero bias across sampling frequencies. Linear interpolation exhibited a persistent positive bias (~20%).</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the composite method produced the most accurate estimates across sampling frequencies, consistent with the Aulenbach et al. (2016) recommendation based on the strong (~0.79) R-squared of the C:Q model fit. The rating method showed a consistent negative bias (~5%), because the simple linear C:Q model does not fully capture the enriching trend at high flows visible in Figure 3, but the composite method’s residual corrections compensated for this systematic error. Linear interpolation exhibited a persistent positive bias (~20%), and the Beale ratio estimator was nearly unbiased but showed increasing variance at coarser frequencies.</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both NO</w:t>
      </w:r>
      <w:r>
        <w:rPr>
          <w:color w:val="auto"/>
          <w:vertAlign w:val="subscript"/>
        </w:rPr>
        <w:t>3</w:t>
      </w:r>
      <w:r>
        <w:rPr>
          <w:color w:val="auto"/>
        </w:rPr>
        <w:t xml:space="preserve">-N and Ca, the Beale ratio estimator produced unbiased median estimates from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Users with coarse data interested primarily in reducing bias, rather than error, should consider using Beale derived estimates. </w:t>
      </w:r>
    </w:p>
    <w:p w14:paraId="1820045D" w14:textId="77777777" w:rsidR="00C7505C" w:rsidRPr="00394DF4" w:rsidRDefault="00A52C6D">
      <w:pPr>
        <w:spacing w:after="22" w:line="259" w:lineRule="auto"/>
        <w:ind w:left="0" w:firstLine="0"/>
        <w:rPr>
          <w:color w:val="auto"/>
        </w:rPr>
      </w:pPr>
      <w:r>
        <w:rPr>
          <w:color w:val="auto"/>
        </w:rPr>
        <w:t xml:space="preserve"> </w:t>
      </w: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accurate estimates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linear interpolation and composite methods.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14:paraId="58704A48" w14:textId="77777777" w:rsidR="00566BC7" w:rsidRPr="00394DF4" w:rsidRDefault="00566BC7" w:rsidP="00566BC7">
      <w:pPr>
        <w:ind w:left="0" w:firstLine="0"/>
        <w:rPr>
          <w:color w:val="auto"/>
        </w:rPr>
      </w:pPr>
      <w:r>
        <w:rPr>
          <w:color w:val="auto"/>
        </w:rPr>
        <w:t xml:space="preserve">Results from the analysis of NEON data are available in the Appendix as Figures a1-a8. </w:t>
      </w:r>
    </w:p>
    <w:p>
      <w:r>
        <w:t xml:space="preserve">We tested conductivity and turbidity at six first-order NEON sites (COMO, CUPE, KING, MAYF, TECR, WALK)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210,058 site-years of data across 146 sites and 100 solutes. After filtering for minimum sampling frequency and adequate discharge coverage, approximately 16,000 site-years met quality thresholds for reliable flux estimation. Distributions of annual solute loads of nitrate (as nitrogen) and calcium are shown in the Appendix as Figure a9. The complete load calculations from each solute and site-year of MacroSheds data are available at 10.6084/m9.figshare.24975504. </w:t>
      </w:r>
    </w:p>
    <w:p w14:paraId="414F6C5E" w14:textId="77777777" w:rsidR="00AD3C85" w:rsidRPr="00394DF4" w:rsidRDefault="00AD3C85">
      <w:pPr>
        <w:ind w:left="-5" w:right="365"/>
        <w:rPr>
          <w:color w:val="auto"/>
        </w:rPr>
      </w:pP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8, other single methods also provide reasonable estimates. However, it would be difficult to confidently assess their relative effectiveness without a sensor derived “truth” for comparison. </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with the composite method applied. Estimated loads were calculated using biweekly,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4F880D2" w14:textId="3180DC81" w:rsidR="00C7505C" w:rsidRPr="00394DF4" w:rsidRDefault="00A52C6D">
      <w:pPr>
        <w:ind w:left="-5" w:right="365"/>
        <w:rPr>
          <w:color w:val="auto"/>
        </w:rPr>
      </w:pPr>
      <w:r>
        <w:rPr>
          <w:color w:val="auto"/>
        </w:rPr>
        <w:t xml:space="preserve">The general agreement between the recommended method estimates and sensor derived load estimates in Figure 11 is a reaffirming case study that the Aulenbach 2016 decision flowchart sensibly chooses from among the best load estimation methods, without requiring the use of outside data (R-squared of 0.63 between estimated and sensor derived loads). </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generally, when there is not a strong C:Q relationship, users should rely on linear interpolation or averaging methods. Under chemostatic or no-pattern C:Q relationships, linear interpolation and the Beale estimator outperform the rating and composite methods, regardless of hydrologic regime.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7-12 and Figures a1-a8) clearly show that, especially at coarse sampling intervals, method selection may influence estimate accuracy by up to ~50 percent.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or “easy” is likely suitable for inter-site comparisons at large scales. Data binned as “fair” should only be used for limited applications. For example, “medium” rated estimates could be used in aggregated regional estimates of weathering rates. Data binned as “complex” should not be used without the user learning more about the site. It is possible that estimates rated as “complex”have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a ratio of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linear interpolation and the Beale ratio estimator were more reliable, though all methods struggled with coarser-than-weekly sampling.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noProof/>
          <w:color w:val="auto"/>
        </w:rPr>
        <w:drawing>
          <wp:inline distT="0" distB="0" distL="0" distR="0" ns5:anchorId="66E9D5FD" ns5:editId="33C32773">
            <wp:extent cx="36576" cy="15240"/>
            <wp:effectExtent l="0" t="0" r="0" b="0"/>
            <wp:docPr id="46316" name="Picture 46316"/>
            <wp:cNvGraphicFramePr/>
            <a:graphic>
              <a:graphicData uri="http://schemas.openxmlformats.org/drawingml/2006/picture">
                <pic:pic>
                  <pic:nvPicPr>
                    <pic:cNvPr id="46316" name="Picture 46316"/>
                    <pic:cNvPicPr/>
                  </pic:nvPicPr>
                  <pic:blipFill>
                    <a:blip r:embed="rId41"/>
                    <a:stretch>
                      <a:fillRect/>
                    </a:stretch>
                  </pic:blipFill>
                  <pic:spPr>
                    <a:xfrm>
                      <a:off x="0" y="0"/>
                      <a:ext cx="36576" cy="15240"/>
                    </a:xfrm>
                    <a:prstGeom prst="rect">
                      <a:avLst/>
                    </a:prstGeom>
                  </pic:spPr>
                </pic:pic>
              </a:graphicData>
            </a:graphic>
          </wp:inline>
        </w:drawing>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composite method shows similar results to the  rating method (Figure a3), but with more constrained maximum and minimum errors.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Beale ratio estimator is very robust, giving ‘good’ quality estimates even with highly variable data.</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C:Q relationship for this solute is poor but correcting back to known observations yields usable estimates with sub-weekly sampling.</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A histogram of annual load estimates present in the MacroSheds dataset. The complete load calculations from each solute and site-year of MacroSheds data are available at </w:t>
      </w:r>
      <w:r>
        <w:rPr>
          <w:color w:val="auto"/>
          <w:sz w:val="18"/>
        </w:rPr>
        <w:t>10.6084/m9.figshare.24975504</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