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28 — A/B Testing &amp; Experimentation Framework</w:t>
      </w:r>
    </w:p>
    <w:p>
      <w:pPr>
        <w:spacing w:after="120"/>
        <w:jc w:val="left"/>
      </w:pPr>
      <w:r>
        <w:rPr>
          <w:b/>
          <w:bCs/>
        </w:rPr>
        <w:t xml:space="preserve">Visionary Internal · v1.0 · R5: A/B everything, kill what underperforms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Experiments change teaching behavior, so every experiment carries safety guardrails</w:t>
      </w:r>
      <w:r>
        <w:br/>
      </w:r>
      <w:r>
        <w:t xml:space="preserve">and a pre-registered kill rule. Pedagogy is product surface, not opinion.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Mechanics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Unit of diversion: student_id hash; stratified by board/class/language/device_tier.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Global holdout 5% (never exposed to experimental pedagogy) for long-run effect.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Primary metric pre-registered: ΔP(mastered) or task-success; guardrails: safety flags,</w:t>
      </w:r>
      <w:r>
        <w:br/>
      </w:r>
      <w:r>
        <w:t xml:space="preserve">TTFT, hallucination rate, complaint rate — any guardrail breach auto-stops the arm.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Sequential testing with early-stop; minimum detectable effect set pre-launch.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Feature flags separate deploy from release; kill switch per flag.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Lifecycle</w:t>
      </w:r>
    </w:p>
    <w:p>
      <w:pPr>
        <w:spacing w:after="160"/>
        <w:jc w:val="center"/>
      </w:pPr>
      <w:r>
        <w:drawing>
          <wp:inline distT="0" distB="0" distL="0" distR="0">
            <wp:extent cx="4800600" cy="8572500"/>
            <wp:effectExtent t="0" r="0" b="0" l="0"/>
            <wp:docPr id="1" name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experiment on crisis/safety paths or consent flows.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Minors: never test pricing or dark-pattern-adjacent copy (none exist anyway).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Weekly experiment council: PM + ML-lead + SME review kills/promotions.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KF1 100% pedagogy changes ship as experiments · KF2 guardrail breach stops arm ≤1h ·</w:t>
      </w:r>
      <w:r>
        <w:br/>
      </w:r>
      <w:r>
        <w:t xml:space="preserve">KF3 holdout maintained ≥1 quarter · KF4 every promotion writes pedagogy-efficacy row ·</w:t>
      </w:r>
      <w:r>
        <w:br/>
      </w:r>
      <w:r>
        <w:t xml:space="preserve">KF5 zero unflagged teaching-behavior deploys.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330ba8452ad746a42fdd92124ded28e4cc51778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2026-10-16T18:34:58.833Z</dcterms:created>
  <dcterms:modified xsi:type="dcterms:W3CDTF">2026-10-16T18:34:58.833Z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