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32 — Government (B2G) &amp; Institutional Playbook</w:t>
      </w:r>
    </w:p>
    <w:p>
      <w:pPr>
        <w:spacing w:after="120"/>
        <w:jc w:val="left"/>
      </w:pPr>
      <w:r>
        <w:rPr>
          <w:b/>
          <w:bCs/>
        </w:rPr>
        <w:t xml:space="preserve">Visionary Internal · v1.0 · Scaling from school pilots to state contracts (Empire Phase 6/8)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B2G is not a sales motion; it is an evidence motion. State boards do not buy software;</w:t>
      </w:r>
      <w:r>
        <w:br/>
      </w:r>
      <w:r>
        <w:t xml:space="preserve">they buy proven learning outcomes at scale. The architecture must support multi-tenant</w:t>
      </w:r>
      <w:r>
        <w:br/>
      </w:r>
      <w:r>
        <w:t xml:space="preserve">isolation and strict data residency to even enter the room.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The B2G Sequence (Doc 06 DDR-E4)</w:t>
      </w:r>
    </w:p>
    <w:p>
      <w:pPr>
        <w:spacing w:after="120"/>
        <w:jc w:val="left"/>
      </w:pPr>
      <w:r>
        <w:t xml:space="preserve">School Pilot (10 schools) → Measured Gain Evidence → State RFP/Tender → State-wide</w:t>
      </w:r>
      <w:r>
        <w:br/>
      </w:r>
      <w:r>
        <w:t xml:space="preserve">Deployment → National Integration (DIKSHA/NDHM).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Architectural Requirements for B2G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Data Residency:</w:t>
      </w:r>
      <w:r>
        <w:t xml:space="preserve"> 100% data resident in AWS ap-south-1 (Mumbai/Hyderabad). Zero</w:t>
      </w:r>
      <w:r>
        <w:br/>
      </w:r>
      <w:r>
        <w:t xml:space="preserve">cross-border transfer. State-specific logical isolation (tenant_id).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Whitelabel:</w:t>
      </w:r>
      <w:r>
        <w:t xml:space="preserve"> State boards require their own branding, logos, and domain mapping.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Offline-First:</w:t>
      </w:r>
      <w:r>
        <w:t xml:space="preserve"> Government school devices often lack stable internet. The React</w:t>
      </w:r>
      <w:r>
        <w:br/>
      </w:r>
      <w:r>
        <w:t xml:space="preserve">Native app must sync state when connected and function fully offline for started</w:t>
      </w:r>
      <w:r>
        <w:br/>
      </w:r>
      <w:r>
        <w:t xml:space="preserve">lessons (Doc 07).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Interoperability:</w:t>
      </w:r>
      <w:r>
        <w:t xml:space="preserve"> Integration with state SIS (Student Information Systems) and</w:t>
      </w:r>
      <w:r>
        <w:br/>
      </w:r>
      <w:r>
        <w:t xml:space="preserve">national registries via standard APIs (e.g., DIKSHA content ingestion).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LR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P1[10-School Pilot] --&gt; EV[Evidence: ΔP(mastered) vs control group]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 --&gt; RFP[State Tender Response]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RFP --&gt; DEP[State Deployment: ap-south-1 isolated tenant]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DEP --&gt; INT[DIKSHA / State SIS Integration]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--&gt; DASH[State Admin Dashboard: aggregate only, n&gt;=5]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Never pitch to a state without a signed, measured school pilot (DDR-E4).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State admin dashboards show aggregate cohort readiness; they never see individual</w:t>
      </w:r>
      <w:r>
        <w:br/>
      </w:r>
      <w:r>
        <w:t xml:space="preserve">student private doubts or raw conversation logs (Doc 24 RBAC).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Pricing is custom/contract-based, not public per-seat.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ap-south-1 residency verified by automated infra scan · KF2 state tenant data</w:t>
      </w:r>
      <w:r>
        <w:br/>
      </w:r>
      <w:r>
        <w:t xml:space="preserve">logically isolated (zero cross-tenant queries in tests) · KF3 offline sync resolves</w:t>
      </w:r>
      <w:r>
        <w:br/>
      </w:r>
      <w:r>
        <w:t xml:space="preserve">conflicts deterministically · KF4 DIKSHA content ingest pipeline handles 100K nodes/day.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2026-10-16T18:38:29.529Z</dcterms:created>
  <dcterms:modified xsi:type="dcterms:W3CDTF">2026-10-16T18:38:29.529Z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