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Country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20/07/2021</w:t>
      </w:r>
    </w:p>
    <w:bookmarkStart w:id="20" w:name="country-ghana"/>
    <w:p>
      <w:pPr>
        <w:pStyle w:val="Heading3"/>
      </w:pPr>
      <w:r>
        <w:rPr>
          <w:bCs/>
          <w:b/>
        </w:rPr>
        <w:t xml:space="preserve">Country: Ghana</w:t>
      </w:r>
    </w:p>
    <w:bookmarkEnd w:id="20"/>
    <w:bookmarkStart w:id="27" w:name="years-2016"/>
    <w:p>
      <w:pPr>
        <w:pStyle w:val="Heading3"/>
      </w:pPr>
      <w:r>
        <w:rPr>
          <w:bCs/>
          <w:b/>
        </w:rPr>
        <w:t xml:space="preserve">Year(s): 2016</w:t>
      </w:r>
    </w:p>
    <w:bookmarkStart w:id="21" w:name="work-force"/>
    <w:p>
      <w:pPr>
        <w:pStyle w:val="Heading4"/>
      </w:pPr>
      <w:r>
        <w:rPr>
          <w:bCs/>
          <w:b/>
        </w:rPr>
        <w:t xml:space="preserve">Work force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Value per 1000 people</w:t>
            </w:r>
          </w:p>
        </w:tc>
        <w:tc>
          <w:p>
            <w:pPr>
              <w:pStyle w:val="Compact"/>
              <w:jc w:val="right"/>
            </w:pPr>
            <w:r>
              <w:t xml:space="preserve">Value per 1000 sq.km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Veterinarians (number)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677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Animal health public sector (number)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Medical doctors (number)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3618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15.90</w:t>
            </w:r>
          </w:p>
        </w:tc>
      </w:tr>
    </w:tbl>
    <w:bookmarkEnd w:id="21"/>
    <w:bookmarkStart w:id="23" w:name="system-capacity"/>
    <w:p>
      <w:pPr>
        <w:pStyle w:val="Heading4"/>
      </w:pPr>
      <w:r>
        <w:rPr>
          <w:bCs/>
          <w:b/>
        </w:rPr>
        <w:t xml:space="preserve">System Capacity</w:t>
      </w:r>
    </w:p>
    <w:p>
      <w:pPr>
        <w:pStyle w:val="FirstParagraph"/>
      </w:pPr>
      <w:r>
        <w:rPr>
          <w:bCs/>
          <w:b/>
        </w:rPr>
        <w:t xml:space="preserve">Antimicrobial resistance (AMR)</w:t>
      </w:r>
    </w:p>
    <w:p>
      <w:pPr>
        <w:pStyle w:val="BodyText"/>
      </w:pPr>
      <w:r>
        <w:t xml:space="preserve">These data wwre generated in 2019-2020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27"/>
        <w:gridCol w:w="3492"/>
      </w:tblGrid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4.1 Multi-sector and One Health collaboration/coordination</w:t>
            </w:r>
          </w:p>
        </w:tc>
        <w:tc>
          <w:p>
            <w:pPr>
              <w:pStyle w:val="Compact"/>
              <w:jc w:val="left"/>
            </w:pPr>
            <w:r>
              <w:t xml:space="preserve">D - Joint working on issues including agreement on common objectives.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4.2 Which sectors are actively involved in developing and implementing the AMR National Action Plan- [Food Production]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4.2 Which sectors are actively involved in developing and implementing the AMR National Action Plan- [Environment]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5.1 Country progress with development of a national action plan on AMR</w:t>
            </w:r>
          </w:p>
        </w:tc>
        <w:tc>
          <w:p>
            <w:pPr>
              <w:pStyle w:val="Compact"/>
              <w:jc w:val="left"/>
            </w:pPr>
            <w:r>
              <w:t xml:space="preserve">E - National AMR action plan has funding sources identified, is being implemented, and has relevant sectors involved with a defined monitoring and evaluation process in place.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5.2 Is your countrys national action plan on AMR linked to any other existing action plans, strategies or targets related to - [Malaria]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5.3 If you have published your AMR national action plan, please insert a link here.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http://www.moh.gov.gh/wp-content/uploads/2018/04/NAP_FINAL_PDF_A4_19.03.2018-SIGNED-1.pdf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5.4 Country legislations on antimicrobial use [Country has laws or regulations that prohibits the use of antibiotics for growth promotion in the absence of risk analysis.]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5.4 Country legislations on antimicrobial use [Country has legislation on marketing of pesticides including antimicrobial pesticides, such as bactericides and fungicides used in plant production.]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6.1 Raising awareness and understanding of AMR risks and response</w:t>
            </w:r>
          </w:p>
        </w:tc>
        <w:tc>
          <w:p>
            <w:pPr>
              <w:pStyle w:val="Compact"/>
              <w:jc w:val="left"/>
            </w:pPr>
            <w:r>
              <w:t xml:space="preserve">D - Nationwide, government-supported antimicrobial resistance awareness campaign targeting all or the majority of priority stakeholder groups, based on stakeholder analysis, utilizing targeted messaging accordingly within sectors.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6.1.1 For the level selected above, please indicate the extent of involvement of the sectors below. [Animal Health (terrestrial and aquatic)]</w:t>
            </w:r>
          </w:p>
        </w:tc>
        <w:tc>
          <w:p>
            <w:pPr>
              <w:pStyle w:val="Compact"/>
              <w:jc w:val="left"/>
            </w:pPr>
            <w:r>
              <w:t xml:space="preserve">This sector is a main focus for activities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6.3 Training and professional education on AMR in the veterinary sector</w:t>
            </w:r>
          </w:p>
        </w:tc>
        <w:tc>
          <w:p>
            <w:pPr>
              <w:pStyle w:val="Compact"/>
              <w:jc w:val="left"/>
            </w:pPr>
            <w:r>
              <w:t xml:space="preserve">B - Ad hoc AMR training courses available for veterinary related professionals.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6.5 Progress with strengthening veterinary services</w:t>
            </w:r>
          </w:p>
        </w:tc>
        <w:tc>
          <w:p>
            <w:pPr>
              <w:pStyle w:val="Compact"/>
              <w:jc w:val="left"/>
            </w:pPr>
            <w:r>
              <w:t xml:space="preserve">C - Implementation of plan to strengthen capacity gaps in Veterinary Services underway.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7.2 National monitoring system for antimicrobials intended to be used in animals (terrestrial and aquatic) (sales/use)</w:t>
            </w:r>
          </w:p>
        </w:tc>
        <w:tc>
          <w:p>
            <w:pPr>
              <w:pStyle w:val="Compact"/>
              <w:jc w:val="left"/>
            </w:pPr>
            <w:r>
              <w:t xml:space="preserve">D - On a regular basis, data is collected and reported to the OIE on the total quantity of antimicrobials sold for/used in animals nationally, by antimicrobial class, by species (aquatic or terrestrial), method of administration, and by type of use (therapeutic or growth promotion).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7.5 (b) AMR surveillance is routinely undertaken in animals for the following categories: [Animal (terrestrial and/or aquatic) isolates linked to animal disease.]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7.5 (b) AMR surveillance is routinely undertaken in animals for the following categories: [Zoonotic pathogenic bacteria]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8.2 Good health, management and hygiene practices to reduce the use of antimicrobials and minimize development and transmission of AMR in animal production (terrestrial and aquatic)</w:t>
            </w:r>
          </w:p>
        </w:tc>
        <w:tc>
          <w:p>
            <w:pPr>
              <w:pStyle w:val="Compact"/>
              <w:jc w:val="left"/>
            </w:pPr>
            <w:r>
              <w:t xml:space="preserve">B - Some activities in place to develop and promote good production practices.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9.2 Optimizing antimicrobial use in animal health (terrestrial and aquatic)</w:t>
            </w:r>
          </w:p>
        </w:tc>
        <w:tc>
          <w:p>
            <w:pPr>
              <w:pStyle w:val="Compact"/>
              <w:jc w:val="left"/>
            </w:pPr>
            <w:r>
              <w:t xml:space="preserve">B - National legislation covers some aspects of national manufacture, import, marketing authorization, control of safety, quality and efficacy and distribution of antimicrobial products.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10. National assessment of risks for AMR transmission in the environment and pollution control. Legislation and/or regulations to prevent contamination of the environment with antimicrobials [Discharges from intensive animal (terrestrial and aquatic) production (liquid waste and manure) a) disposal into the environment][Are risk reduction actions underway-]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p>
      <w:pPr>
        <w:pStyle w:val="BodyText"/>
      </w:pPr>
      <w:r>
        <w:rPr>
          <w:bCs/>
          <w:b/>
        </w:rPr>
        <w:t xml:space="preserve">JEE indicators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663"/>
        <w:gridCol w:w="116"/>
        <w:gridCol w:w="139"/>
      </w:tblGrid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P.4.3 Mechanisms for responding to infectious and potential zoonotic diseases are established and functional (v1) / P.4.2 Mechanisms for responding to infectious and potential zoonotic diseases established and functional (v2)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P.6.1 Whole-of-government biosafety and biosecurity system is in place for human, animal and agriculture facilities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P.6.2 Biosafety and biosecurity training and practices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P.7.2 National vaccine access and delivery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D.1.1 Laboratory testing for detection of priority diseases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D.1.2 Specimen referral and transport system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D.1.4 Laboratory quality system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D.3.1 System for e cient reporting to FAO, OIE and WHO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D.3.2 Reporting network and protocols in country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D.4.2 FETP1 or other applied epidemiology training programme in place (v1)/ D.4.4 FETP or other applied epidemiology training programme is in place (v2)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D.4.3 Workforce strategy (v1)/ D.4.1 An up-to-date multisectoral workforce strategy is in place (v2)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R.3.1 Public health and security authorities (e.g. law enforcement, border control, customs) are linked during a suspect or con rmed biological event (v1)/ R.3.1 Public health and security authorities (e.g. law enforcement, border control, customs) linked during a suspect or confirmed biological, chemical or radiological event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R.5.2 Internal and partner communication and coordination (v1)/ R.5.2 Internal and partner coordination for emergency risk communication (v2)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PoE.1 Routine capacities established at points of entry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PoE.2 E ective public health response at points of entry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rPr>
          <w:bCs/>
          <w:b/>
        </w:rPr>
        <w:t xml:space="preserve">SPAR</w:t>
      </w:r>
    </w:p>
    <w:p>
      <w:pPr>
        <w:pStyle w:val="BodyText"/>
      </w:pPr>
      <w:r>
        <w:t xml:space="preserve">These daa were generated in 2020</w:t>
      </w:r>
      <w:r>
        <w:t xml:space="preserve"> </w:t>
      </w:r>
      <w:r>
        <w:t xml:space="preserve">The values for the indicators are….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C.3.1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C.4.1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C.5.1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C.6.1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C.6.2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C.11.1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C.11.2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</w:tbl>
    <w:bookmarkEnd w:id="23"/>
    <w:bookmarkStart w:id="24" w:name="disease-events"/>
    <w:p>
      <w:pPr>
        <w:pStyle w:val="Heading4"/>
      </w:pPr>
      <w:r>
        <w:rPr>
          <w:bCs/>
          <w:b/>
        </w:rPr>
        <w:t xml:space="preserve">Disease events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Presence of porcine cysticercosis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Present</w:t>
            </w:r>
          </w:p>
        </w:tc>
        <w:tc>
          <w:p>
            <w:pPr>
              <w:pStyle w:val="Compact"/>
              <w:jc w:val="left"/>
            </w:pPr>
            <w:r>
              <w:t xml:space="preserve">presence or absence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Robust national rabies surveillance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Robust national rabies control program implemented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Rabies Vaccine Availability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Limited availability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 Availability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Limited availability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Promed events 2015-2021</w:t>
            </w:r>
          </w:p>
        </w:tc>
        <w:tc>
          <w:p>
            <w:pPr>
              <w:pStyle w:val="Compact"/>
              <w:jc w:val="left"/>
            </w:pPr>
            <w:r>
              <w:t xml:space="preserve">2015-2021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Joining, by = "year"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Value per 1000 people</w:t>
            </w:r>
          </w:p>
        </w:tc>
        <w:tc>
          <w:p>
            <w:pPr>
              <w:pStyle w:val="Compact"/>
              <w:jc w:val="right"/>
            </w:pPr>
            <w:r>
              <w:t xml:space="preserve">Value per 1000 sq.km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Estimated number of malaria cases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7652909</w:t>
            </w:r>
          </w:p>
        </w:tc>
        <w:tc>
          <w:p>
            <w:pPr>
              <w:pStyle w:val="Compact"/>
              <w:jc w:val="right"/>
            </w:pPr>
            <w:r>
              <w:t xml:space="preserve">268.69</w:t>
            </w:r>
          </w:p>
        </w:tc>
        <w:tc>
          <w:p>
            <w:pPr>
              <w:pStyle w:val="Compact"/>
              <w:jc w:val="right"/>
            </w:pPr>
            <w:r>
              <w:t xml:space="preserve">33633.25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Rabies - number of deaths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fever - number of reported cases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bookmarkEnd w:id="24"/>
    <w:bookmarkStart w:id="25" w:name="environmental-factors"/>
    <w:p>
      <w:pPr>
        <w:pStyle w:val="Heading4"/>
      </w:pPr>
      <w:r>
        <w:rPr>
          <w:bCs/>
          <w:b/>
        </w:rPr>
        <w:t xml:space="preserve">Environmental factors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192"/>
        <w:gridCol w:w="440"/>
        <w:gridCol w:w="968"/>
        <w:gridCol w:w="1320"/>
      </w:tblGrid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Forest area (% of land area)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34.82</w:t>
            </w:r>
          </w:p>
        </w:tc>
        <w:tc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 cover loss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13749.02</w:t>
            </w:r>
          </w:p>
        </w:tc>
        <w:tc>
          <w:p>
            <w:pPr>
              <w:pStyle w:val="Compact"/>
              <w:jc w:val="left"/>
            </w:pPr>
            <w:r>
              <w:t xml:space="preserve">hectares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Arable land (hectares)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4700000.00</w:t>
            </w:r>
          </w:p>
        </w:tc>
        <w:tc>
          <w:p>
            <w:pPr>
              <w:pStyle w:val="Compact"/>
              <w:jc w:val="left"/>
            </w:pPr>
            <w:r>
              <w:t xml:space="preserve">hectares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Arable land (% of land area)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20.66</w:t>
            </w:r>
          </w:p>
        </w:tc>
        <w:tc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 to electricity (% of population)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79.30</w:t>
            </w:r>
          </w:p>
        </w:tc>
        <w:tc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Stocks_Cattle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1815000.00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Stocks_Chickens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73885.00</w:t>
            </w:r>
          </w:p>
        </w:tc>
        <w:tc>
          <w:p>
            <w:pPr>
              <w:pStyle w:val="Compact"/>
              <w:jc w:val="left"/>
            </w:pPr>
            <w:r>
              <w:t xml:space="preserve">1000 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Stocks_Goats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6740000.00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Stocks_Pigs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777000.00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Stocks_Sheep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4744000.00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Agriculture, forestry, and fishing, value added (% of GDP)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21.48</w:t>
            </w:r>
          </w:p>
        </w:tc>
        <w:tc>
          <w:p>
            <w:pPr>
              <w:pStyle w:val="Compact"/>
              <w:jc w:val="left"/>
            </w:pPr>
            <w:r>
              <w:t xml:space="preserve">percent of GDP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Terrestrial protected areas (% of total land area)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15.06</w:t>
            </w:r>
          </w:p>
        </w:tc>
        <w:tc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Capture fisheries production (metric tons)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332635.00</w:t>
            </w:r>
          </w:p>
        </w:tc>
        <w:tc>
          <w:p>
            <w:pPr>
              <w:pStyle w:val="Compact"/>
              <w:jc w:val="left"/>
            </w:pPr>
            <w:r>
              <w:t xml:space="preserve">metric tons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 area (sq. km)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227540.00</w:t>
            </w:r>
          </w:p>
        </w:tc>
        <w:tc>
          <w:p>
            <w:pPr>
              <w:pStyle w:val="Compact"/>
              <w:jc w:val="left"/>
            </w:pPr>
            <w:r>
              <w:t xml:space="preserve">sq km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Import Quantity_Buffaloes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Import Quantity_Camels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Import Quantity_Cattle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15000.00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Export Quantity_Cattle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127.00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Import Quantity_Chickens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7643.00</w:t>
            </w:r>
          </w:p>
        </w:tc>
        <w:tc>
          <w:p>
            <w:pPr>
              <w:pStyle w:val="Compact"/>
              <w:jc w:val="left"/>
            </w:pPr>
            <w:r>
              <w:t xml:space="preserve">1000 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Export Quantity_Chickens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1000 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Import Quantity_Goats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2497.00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Export Quantity_Goats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Import Quantity_Pigs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Export Quantity_Pigs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Import Quantity_Sheep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16110.00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Export Quantity_Sheep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p>
            <w:pPr>
              <w:pStyle w:val="Compact"/>
              <w:jc w:val="left"/>
            </w:pPr>
            <w:r>
              <w:t xml:space="preserve">Head</w:t>
            </w:r>
          </w:p>
        </w:tc>
      </w:tr>
    </w:tbl>
    <w:bookmarkEnd w:id="25"/>
    <w:bookmarkStart w:id="26" w:name="X1c33b3bb0c355762e2769a59c6b87ed52b53135"/>
    <w:p>
      <w:pPr>
        <w:pStyle w:val="Heading4"/>
      </w:pPr>
      <w:r>
        <w:rPr>
          <w:bCs/>
          <w:b/>
        </w:rPr>
        <w:t xml:space="preserve">Demographic and population wealth factors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348"/>
        <w:gridCol w:w="514"/>
        <w:gridCol w:w="1234"/>
        <w:gridCol w:w="822"/>
      </w:tblGrid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Current health expenditure per capita (current US</w:t>
            </w:r>
            <m:oMath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|</m:t>
              </m:r>
              <m:r>
                <m:t>2016</m:t>
              </m:r>
              <m:r>
                <m:rPr>
                  <m:sty m:val="p"/>
                </m:rPr>
                <m:t>|</m:t>
              </m:r>
              <m:r>
                <m:t>66.86</m:t>
              </m:r>
              <m:r>
                <m:rPr>
                  <m:sty m:val="p"/>
                </m:rPr>
                <m:t>|</m:t>
              </m:r>
              <m:r>
                <m:t>U</m:t>
              </m:r>
              <m:r>
                <m:t>S</m:t>
              </m:r>
              <m:r>
                <m:t>D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|</m:t>
              </m:r>
              <m:r>
                <m:t>G</m:t>
              </m:r>
              <m:r>
                <m:t>N</m:t>
              </m:r>
              <m:r>
                <m:t>I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a</m:t>
              </m:r>
              <m:r>
                <m:t>p</m:t>
              </m:r>
              <m:r>
                <m:t>i</m:t>
              </m:r>
              <m:r>
                <m:t>t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t>t</m:t>
              </m:r>
              <m:r>
                <m:t>l</m:t>
              </m:r>
              <m:r>
                <m:t>a</m:t>
              </m:r>
              <m:r>
                <m:t>s</m:t>
              </m:r>
              <m:r>
                <m:t>m</m:t>
              </m:r>
              <m:r>
                <m:t>e</m:t>
              </m:r>
              <m:r>
                <m:t>t</m:t>
              </m:r>
              <m:r>
                <m:t>h</m:t>
              </m:r>
              <m:r>
                <m:t>o</m:t>
              </m:r>
              <m:r>
                <m:t>d</m:t>
              </m:r>
              <m:r>
                <m:rPr>
                  <m:sty m:val="p"/>
                </m:rPr>
                <m:t>(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t>U</m:t>
              </m:r>
              <m:r>
                <m:t>S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1790.00</w:t>
            </w:r>
          </w:p>
        </w:tc>
        <w:tc>
          <w:p>
            <w:pPr>
              <w:pStyle w:val="Compact"/>
              <w:jc w:val="left"/>
            </w:pPr>
            <w:r>
              <w:t xml:space="preserve">USD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Population, total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28481947.00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 change in population 2010-2019</w:t>
            </w:r>
          </w:p>
        </w:tc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22.80</w:t>
            </w:r>
          </w:p>
        </w:tc>
        <w:tc>
          <w:p>
            <w:pPr>
              <w:pStyle w:val="Compact"/>
              <w:jc w:val="left"/>
            </w:pPr>
            <w:r>
              <w:t xml:space="preserve">Percent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moh.gov.gh/wp-content/uploads/2018/04/NAP_FINAL_PDF_A4_19.03.2018-SIGNED-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moh.gov.gh/wp-content/uploads/2018/04/NAP_FINAL_PDF_A4_19.03.2018-SIGNED-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Country Report</dc:title>
  <dc:creator/>
  <cp:keywords/>
  <dcterms:created xsi:type="dcterms:W3CDTF">2021-07-23T17:08:39Z</dcterms:created>
  <dcterms:modified xsi:type="dcterms:W3CDTF">2021-07-23T17:08:39Z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20/07/2021</vt:lpwstr>
  </property>
  <property fmtid="{D5CDD505-2E9C-101B-9397-08002B2CF9AE}" pid="3" name="output">
    <vt:lpwstr/>
  </property>
</Properties>
</file>