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525C" w:rsidRPr="002D525C" w:rsidRDefault="002D525C" w:rsidP="002D525C">
      <w:pPr>
        <w:rPr>
          <w:rFonts w:ascii="Times New Roman" w:hAnsi="Times New Roman" w:cs="Times New Roman"/>
          <w:b/>
          <w:sz w:val="24"/>
          <w:lang w:val="en-US"/>
        </w:rPr>
      </w:pPr>
      <w:bookmarkStart w:id="0" w:name="_GoBack"/>
      <w:r w:rsidRPr="002D525C">
        <w:rPr>
          <w:rFonts w:ascii="Times New Roman" w:hAnsi="Times New Roman" w:cs="Times New Roman"/>
          <w:b/>
          <w:sz w:val="24"/>
          <w:lang w:val="en-US"/>
        </w:rPr>
        <w:t>S1 Appendix: Scatterplot of observed versus predicted seroprevalences at the district level</w:t>
      </w:r>
    </w:p>
    <w:bookmarkEnd w:id="0"/>
    <w:p w:rsidR="002D525C" w:rsidRPr="002D525C" w:rsidRDefault="002D525C" w:rsidP="002D525C">
      <w:pPr>
        <w:rPr>
          <w:rFonts w:ascii="Times New Roman" w:hAnsi="Times New Roman" w:cs="Times New Roman"/>
          <w:sz w:val="24"/>
          <w:lang w:val="en-US"/>
        </w:rPr>
      </w:pPr>
      <w:r w:rsidRPr="002D525C">
        <w:rPr>
          <w:rFonts w:ascii="Times New Roman" w:hAnsi="Times New Roman" w:cs="Times New Roman"/>
          <w:sz w:val="24"/>
          <w:lang w:val="en-US"/>
        </w:rPr>
        <w:t xml:space="preserve">Seroprevalence has been predicted for each age category in each communes sampled. For each district the sampling has been reconstructed taking into account the communes sampled and the number of animals sampled in each commune.  Grey </w:t>
      </w:r>
      <w:r w:rsidR="008A12A7" w:rsidRPr="002D525C">
        <w:rPr>
          <w:rFonts w:ascii="Times New Roman" w:hAnsi="Times New Roman" w:cs="Times New Roman"/>
          <w:sz w:val="24"/>
          <w:lang w:val="en-US"/>
        </w:rPr>
        <w:t>points correspond</w:t>
      </w:r>
      <w:r w:rsidRPr="002D525C">
        <w:rPr>
          <w:rFonts w:ascii="Times New Roman" w:hAnsi="Times New Roman" w:cs="Times New Roman"/>
          <w:sz w:val="24"/>
          <w:lang w:val="en-US"/>
        </w:rPr>
        <w:t xml:space="preserve"> to districts where less than 5 animals were sampled</w:t>
      </w:r>
      <w:r w:rsidR="00F95A03">
        <w:rPr>
          <w:rFonts w:ascii="Times New Roman" w:hAnsi="Times New Roman" w:cs="Times New Roman"/>
          <w:sz w:val="24"/>
          <w:lang w:val="en-US"/>
        </w:rPr>
        <w:t>.</w:t>
      </w:r>
    </w:p>
    <w:p w:rsidR="002D525C" w:rsidRPr="002D525C" w:rsidRDefault="002D525C">
      <w:pPr>
        <w:rPr>
          <w:lang w:val="en-US"/>
        </w:rPr>
      </w:pPr>
    </w:p>
    <w:p w:rsidR="00F17564" w:rsidRDefault="00F47746">
      <w:r>
        <w:rPr>
          <w:noProof/>
          <w:lang w:eastAsia="fr-FR"/>
        </w:rPr>
        <w:drawing>
          <wp:inline distT="0" distB="0" distL="0" distR="0" wp14:anchorId="7F4933C2" wp14:editId="4146CDDB">
            <wp:extent cx="6038850" cy="4457700"/>
            <wp:effectExtent l="0" t="0" r="19050" b="19050"/>
            <wp:docPr id="1"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2D525C" w:rsidRPr="00F47746" w:rsidRDefault="002D525C">
      <w:pPr>
        <w:rPr>
          <w:lang w:val="en-US"/>
        </w:rPr>
      </w:pPr>
    </w:p>
    <w:sectPr w:rsidR="002D525C" w:rsidRPr="00F477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7746"/>
    <w:rsid w:val="0009764E"/>
    <w:rsid w:val="000A6165"/>
    <w:rsid w:val="000E439A"/>
    <w:rsid w:val="00121933"/>
    <w:rsid w:val="002D525C"/>
    <w:rsid w:val="007D07D3"/>
    <w:rsid w:val="008A12A7"/>
    <w:rsid w:val="00C36906"/>
    <w:rsid w:val="00F47746"/>
    <w:rsid w:val="00F95A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F4774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774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F4774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774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0.16503018372703412"/>
          <c:y val="8.832203266258383E-2"/>
          <c:w val="0.79737270341207334"/>
          <c:h val="0.70655433498381093"/>
        </c:manualLayout>
      </c:layout>
      <c:scatterChart>
        <c:scatterStyle val="lineMarker"/>
        <c:varyColors val="0"/>
        <c:ser>
          <c:idx val="0"/>
          <c:order val="0"/>
          <c:tx>
            <c:strRef>
              <c:f>Feuil5!$E$3</c:f>
              <c:strCache>
                <c:ptCount val="1"/>
                <c:pt idx="0">
                  <c:v>Predicted seroprevalence</c:v>
                </c:pt>
              </c:strCache>
            </c:strRef>
          </c:tx>
          <c:spPr>
            <a:ln w="28575">
              <a:noFill/>
            </a:ln>
          </c:spPr>
          <c:marker>
            <c:symbol val="circle"/>
            <c:size val="8"/>
            <c:spPr>
              <a:solidFill>
                <a:schemeClr val="tx1"/>
              </a:solidFill>
            </c:spPr>
          </c:marker>
          <c:dPt>
            <c:idx val="8"/>
            <c:marker>
              <c:spPr>
                <a:solidFill>
                  <a:schemeClr val="bg1">
                    <a:lumMod val="50000"/>
                  </a:schemeClr>
                </a:solidFill>
              </c:spPr>
            </c:marker>
            <c:bubble3D val="0"/>
          </c:dPt>
          <c:dPt>
            <c:idx val="19"/>
            <c:marker>
              <c:spPr>
                <a:solidFill>
                  <a:schemeClr val="bg1">
                    <a:lumMod val="50000"/>
                  </a:schemeClr>
                </a:solidFill>
              </c:spPr>
            </c:marker>
            <c:bubble3D val="0"/>
          </c:dPt>
          <c:dPt>
            <c:idx val="21"/>
            <c:marker>
              <c:spPr>
                <a:solidFill>
                  <a:schemeClr val="bg1">
                    <a:lumMod val="50000"/>
                  </a:schemeClr>
                </a:solidFill>
              </c:spPr>
            </c:marker>
            <c:bubble3D val="0"/>
          </c:dPt>
          <c:xVal>
            <c:numRef>
              <c:f>Feuil5!$O$4:$O$25</c:f>
              <c:numCache>
                <c:formatCode>General</c:formatCode>
                <c:ptCount val="22"/>
                <c:pt idx="0">
                  <c:v>2.9411764705882353E-2</c:v>
                </c:pt>
                <c:pt idx="1">
                  <c:v>0.26530612244897961</c:v>
                </c:pt>
                <c:pt idx="2">
                  <c:v>0.54761904761904767</c:v>
                </c:pt>
                <c:pt idx="3">
                  <c:v>0.44827586206896552</c:v>
                </c:pt>
                <c:pt idx="4">
                  <c:v>6.9767441860465115E-2</c:v>
                </c:pt>
                <c:pt idx="5">
                  <c:v>0</c:v>
                </c:pt>
                <c:pt idx="6">
                  <c:v>0.11904761904761904</c:v>
                </c:pt>
                <c:pt idx="7">
                  <c:v>0.39285714285714285</c:v>
                </c:pt>
                <c:pt idx="8">
                  <c:v>1</c:v>
                </c:pt>
                <c:pt idx="9">
                  <c:v>0.1076923076923077</c:v>
                </c:pt>
                <c:pt idx="10">
                  <c:v>0.21590909090909091</c:v>
                </c:pt>
                <c:pt idx="11">
                  <c:v>0.10833333333333334</c:v>
                </c:pt>
                <c:pt idx="12">
                  <c:v>0.39175257731958762</c:v>
                </c:pt>
                <c:pt idx="13">
                  <c:v>0.44444444444444442</c:v>
                </c:pt>
                <c:pt idx="14">
                  <c:v>0.25396825396825395</c:v>
                </c:pt>
                <c:pt idx="15">
                  <c:v>0.25</c:v>
                </c:pt>
                <c:pt idx="16">
                  <c:v>0.2608695652173913</c:v>
                </c:pt>
                <c:pt idx="17">
                  <c:v>0</c:v>
                </c:pt>
                <c:pt idx="18">
                  <c:v>0.27777777777777779</c:v>
                </c:pt>
                <c:pt idx="19">
                  <c:v>0</c:v>
                </c:pt>
                <c:pt idx="20">
                  <c:v>0.16666666666666666</c:v>
                </c:pt>
                <c:pt idx="21">
                  <c:v>0.5</c:v>
                </c:pt>
              </c:numCache>
            </c:numRef>
          </c:xVal>
          <c:yVal>
            <c:numRef>
              <c:f>Feuil5!$I$4:$I$25</c:f>
              <c:numCache>
                <c:formatCode>General</c:formatCode>
                <c:ptCount val="22"/>
                <c:pt idx="0">
                  <c:v>0.15766098012344829</c:v>
                </c:pt>
                <c:pt idx="1">
                  <c:v>0.21432761302182954</c:v>
                </c:pt>
                <c:pt idx="2">
                  <c:v>0.39177413589586912</c:v>
                </c:pt>
                <c:pt idx="3">
                  <c:v>0.13926410092780697</c:v>
                </c:pt>
                <c:pt idx="4">
                  <c:v>0.10757126391230586</c:v>
                </c:pt>
                <c:pt idx="5">
                  <c:v>2.3419737573536853E-2</c:v>
                </c:pt>
                <c:pt idx="6">
                  <c:v>0.1009018878645972</c:v>
                </c:pt>
                <c:pt idx="7">
                  <c:v>0.25874740401886498</c:v>
                </c:pt>
                <c:pt idx="8">
                  <c:v>0.25401464143298103</c:v>
                </c:pt>
                <c:pt idx="9">
                  <c:v>0.15589382965661369</c:v>
                </c:pt>
                <c:pt idx="10">
                  <c:v>0.15053815841468762</c:v>
                </c:pt>
                <c:pt idx="11">
                  <c:v>0.10282418031395738</c:v>
                </c:pt>
                <c:pt idx="12">
                  <c:v>0.15268934167758158</c:v>
                </c:pt>
                <c:pt idx="13">
                  <c:v>0.39516548696523612</c:v>
                </c:pt>
                <c:pt idx="14">
                  <c:v>0.31183617312993123</c:v>
                </c:pt>
                <c:pt idx="15">
                  <c:v>0.24026591636906683</c:v>
                </c:pt>
                <c:pt idx="16">
                  <c:v>0.31327342241963591</c:v>
                </c:pt>
                <c:pt idx="17">
                  <c:v>7.4077169857766079E-2</c:v>
                </c:pt>
                <c:pt idx="18">
                  <c:v>8.7107759625349571E-2</c:v>
                </c:pt>
                <c:pt idx="19">
                  <c:v>0.28541366418056602</c:v>
                </c:pt>
                <c:pt idx="20">
                  <c:v>0.11313658945519534</c:v>
                </c:pt>
                <c:pt idx="21">
                  <c:v>0.35487069622088224</c:v>
                </c:pt>
              </c:numCache>
            </c:numRef>
          </c:yVal>
          <c:smooth val="0"/>
        </c:ser>
        <c:dLbls>
          <c:showLegendKey val="0"/>
          <c:showVal val="0"/>
          <c:showCatName val="0"/>
          <c:showSerName val="0"/>
          <c:showPercent val="0"/>
          <c:showBubbleSize val="0"/>
        </c:dLbls>
        <c:axId val="162950144"/>
        <c:axId val="162952320"/>
      </c:scatterChart>
      <c:valAx>
        <c:axId val="162950144"/>
        <c:scaling>
          <c:orientation val="minMax"/>
          <c:max val="1"/>
        </c:scaling>
        <c:delete val="0"/>
        <c:axPos val="b"/>
        <c:majorGridlines/>
        <c:minorGridlines>
          <c:spPr>
            <a:ln>
              <a:solidFill>
                <a:schemeClr val="bg1">
                  <a:lumMod val="85000"/>
                </a:schemeClr>
              </a:solidFill>
            </a:ln>
          </c:spPr>
        </c:minorGridlines>
        <c:title>
          <c:tx>
            <c:rich>
              <a:bodyPr/>
              <a:lstStyle/>
              <a:p>
                <a:pPr>
                  <a:defRPr sz="1400"/>
                </a:pPr>
                <a:r>
                  <a:rPr lang="fr-FR" sz="1400"/>
                  <a:t>Observed seroprevalence</a:t>
                </a:r>
              </a:p>
            </c:rich>
          </c:tx>
          <c:layout>
            <c:manualLayout>
              <c:xMode val="edge"/>
              <c:yMode val="edge"/>
              <c:x val="0.36322331583552053"/>
              <c:y val="0.89381166743328189"/>
            </c:manualLayout>
          </c:layout>
          <c:overlay val="0"/>
        </c:title>
        <c:numFmt formatCode="General" sourceLinked="1"/>
        <c:majorTickMark val="out"/>
        <c:minorTickMark val="none"/>
        <c:tickLblPos val="nextTo"/>
        <c:spPr>
          <a:ln>
            <a:solidFill>
              <a:schemeClr val="bg1">
                <a:lumMod val="50000"/>
              </a:schemeClr>
            </a:solidFill>
          </a:ln>
        </c:spPr>
        <c:crossAx val="162952320"/>
        <c:crosses val="autoZero"/>
        <c:crossBetween val="midCat"/>
        <c:majorUnit val="0.1"/>
        <c:minorUnit val="5.000000000000001E-2"/>
      </c:valAx>
      <c:valAx>
        <c:axId val="162952320"/>
        <c:scaling>
          <c:orientation val="minMax"/>
          <c:max val="1"/>
        </c:scaling>
        <c:delete val="0"/>
        <c:axPos val="l"/>
        <c:majorGridlines/>
        <c:minorGridlines>
          <c:spPr>
            <a:ln>
              <a:solidFill>
                <a:schemeClr val="bg1">
                  <a:lumMod val="85000"/>
                </a:schemeClr>
              </a:solidFill>
            </a:ln>
          </c:spPr>
        </c:minorGridlines>
        <c:title>
          <c:tx>
            <c:rich>
              <a:bodyPr rot="-5400000" vert="horz"/>
              <a:lstStyle/>
              <a:p>
                <a:pPr>
                  <a:defRPr sz="1600"/>
                </a:pPr>
                <a:r>
                  <a:rPr lang="fr-FR" sz="1600"/>
                  <a:t>Predicted seroprevalence</a:t>
                </a:r>
              </a:p>
            </c:rich>
          </c:tx>
          <c:layout>
            <c:manualLayout>
              <c:xMode val="edge"/>
              <c:yMode val="edge"/>
              <c:x val="3.4305555555555561E-2"/>
              <c:y val="0.20212183437753276"/>
            </c:manualLayout>
          </c:layout>
          <c:overlay val="0"/>
        </c:title>
        <c:numFmt formatCode="General" sourceLinked="1"/>
        <c:majorTickMark val="out"/>
        <c:minorTickMark val="none"/>
        <c:tickLblPos val="nextTo"/>
        <c:crossAx val="162950144"/>
        <c:crosses val="autoZero"/>
        <c:crossBetween val="midCat"/>
        <c:minorUnit val="5.000000000000001E-2"/>
      </c:valAx>
    </c:plotArea>
    <c:plotVisOnly val="1"/>
    <c:dispBlanksAs val="gap"/>
    <c:showDLblsOverMax val="0"/>
  </c:chart>
  <c:externalData r:id="rId1">
    <c:autoUpdate val="0"/>
  </c:externalData>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61</Words>
  <Characters>340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U022-E640</dc:creator>
  <cp:lastModifiedBy>U022-E640</cp:lastModifiedBy>
  <cp:revision>3</cp:revision>
  <dcterms:created xsi:type="dcterms:W3CDTF">2016-05-19T08:43:00Z</dcterms:created>
  <dcterms:modified xsi:type="dcterms:W3CDTF">2016-05-24T13:10:00Z</dcterms:modified>
</cp:coreProperties>
</file>