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18" w:name="authority-registry"/>
    <w:p>
      <w:pPr>
        <w:pStyle w:val="Heading1"/>
      </w:pPr>
      <w:r>
        <w:t xml:space="preserve">Authority Registry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https://rcos.ecohubs.community/articles/rcos-templates/layer-2/authority-registry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2 — Governance &amp; Decision Logic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§4.3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§4.7</w:t>
        </w:r>
      </w:hyperlink>
    </w:p>
    <w:p>
      <w:pPr>
        <w:pStyle w:val="BlockText"/>
      </w:pPr>
      <w:r>
        <w:t xml:space="preserve">Lists all roles, circles, or bodies that hold decision-making authority, along with their explicit scope, limits, and term.</w:t>
      </w:r>
    </w:p>
    <w:p>
      <w:r>
        <w:pict>
          <v:rect style="width:0;height:1.5pt" o:hralign="center" o:hrstd="t" o:hr="t"/>
        </w:pict>
      </w:r>
    </w:p>
    <w:bookmarkStart w:id="16" w:name="registered-authorities"/>
    <w:p>
      <w:pPr>
        <w:pStyle w:val="Heading2"/>
      </w:pPr>
      <w:r>
        <w:t xml:space="preserve">Registered Authorities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4.3.5</w:t>
        </w:r>
      </w:hyperlink>
    </w:p>
    <w:p>
      <w:pPr>
        <w:pStyle w:val="BlockText"/>
      </w:pPr>
      <w:r>
        <w:rPr>
          <w:b/>
          <w:bCs/>
        </w:rPr>
        <w:t xml:space="preserve">Rationale — Why write every authority down</w:t>
      </w:r>
    </w:p>
    <w:p>
      <w:pPr>
        <w:pStyle w:val="BlockText"/>
      </w:pPr>
      <w:r>
        <w:t xml:space="preserve">Authority that is not explicitly registered gets filled in by default — by whoever has been around longest, speaks loudest, or controls the keys. A single registry that names every role, bounds its scope, caps its limits, and ties its basis to a delegation act makes unauthorized action detectable and prevents authority from being derived from charisma, seniority, or ownership.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For each role, body, or circle that holds authority, list the scope of authority, hard limits, term/duration, and the basis (membership state, delegation act, etc.). The collective body of Full Members is itself an authority and belongs in this table.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/ Body</w:t>
            </w:r>
          </w:p>
        </w:tc>
        <w:tc>
          <w:tcPr/>
          <w:p>
            <w:pPr>
              <w:pStyle w:val="Compact"/>
            </w:pPr>
            <w:r>
              <w:t xml:space="preserve">Scope of authority</w:t>
            </w:r>
          </w:p>
        </w:tc>
        <w:tc>
          <w:tcPr/>
          <w:p>
            <w:pPr>
              <w:pStyle w:val="Compact"/>
            </w:pPr>
            <w:r>
              <w:t xml:space="preserve">Limits</w:t>
            </w:r>
          </w:p>
        </w:tc>
        <w:tc>
          <w:tcPr/>
          <w:p>
            <w:pPr>
              <w:pStyle w:val="Compact"/>
            </w:pPr>
            <w:r>
              <w:t xml:space="preserve">Term / Duration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&lt;e.g. Full Members (collective)&gt;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&lt;limits — cannot override invariants; cannot act outside Decision Matrix&gt;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&lt;basis — membership state&gt;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&lt;e.g. Membership Admin&gt;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&lt;basis — delegated by Full Members&gt;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&lt;e.g. Finance Steward&gt;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&lt;limits — spending cap&gt;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Conflict-of-interest recusal:</w:t>
      </w:r>
      <w:r>
        <w:t xml:space="preserve"> </w:t>
      </w:r>
      <w:r>
        <w:t xml:space="preserve">A role holder may not exercise their delegated authority in any decision where they have a direct personal interest. In such cases, the decision is escalated through the governance process.</w:t>
      </w:r>
    </w:p>
    <w:p>
      <w:pPr>
        <w:pStyle w:val="BlockText"/>
      </w:pPr>
      <w:r>
        <w:t xml:space="preserve">Authority must not be derived from charisma, seniority, ownership, or informal influence.</w:t>
      </w:r>
      <w:r>
        <w:t xml:space="preserve"> </w:t>
      </w:r>
      <w:r>
        <w:t xml:space="preserve">Temporary or emergency authority must be explicitly defined, time-bounded, and subject to review.</w:t>
      </w:r>
    </w:p>
    <w:p>
      <w:r>
        <w:pict>
          <v:rect style="width:0;height:1.5pt" o:hralign="center" o:hrstd="t" o:hr="t"/>
        </w:pict>
      </w:r>
    </w:p>
    <w:bookmarkEnd w:id="16"/>
    <w:bookmarkStart w:id="17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Adopted: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Constitutional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Decision record:</w:t>
      </w:r>
      <w:r>
        <w:t xml:space="preserve"> 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articles/rcos-core/v0-1/layer-2-governance-decision-logic#43-authority-boundaries" TargetMode="External" /><Relationship Type="http://schemas.openxmlformats.org/officeDocument/2006/relationships/hyperlink" Id="rId15" Target="https://rcos.ecohubs.community/articles/rcos-core/v0-1/layer-2-governance-decision-logic#47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2/authority-regist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articles/rcos-core/v0-1/layer-2-governance-decision-logic#43-authority-boundaries" TargetMode="External" /><Relationship Type="http://schemas.openxmlformats.org/officeDocument/2006/relationships/hyperlink" Id="rId15" Target="https://rcos.ecohubs.community/articles/rcos-core/v0-1/layer-2-governance-decision-logic#47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2/authority-regist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2026-06-26T01:38:39Z</dcterms:created>
  <dcterms:modified xsi:type="dcterms:W3CDTF">2026-06-26T01:38:39Z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Authority Registry</vt:lpwstr>
  </property>
</Properties>
</file>