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35" w:name="plantillas-de-reuniones"/>
    <w:p>
      <w:pPr>
        <w:pStyle w:val="Heading1"/>
      </w:pPr>
      <w:r>
        <w:t xml:space="preserve">Plantillas de Reuniones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https://rcos.ecohubs.community/es/articles/rcos-templates/layer-5/meeting-templates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5 — Operaciones y Coordinación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§7.2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§7.6</w:t>
        </w:r>
      </w:hyperlink>
    </w:p>
    <w:p>
      <w:pPr>
        <w:pStyle w:val="BlockText"/>
      </w:pPr>
      <w:r>
        <w:t xml:space="preserve">Las plantillas de reuniones declaran el propósito, el alcance de decisión, el quórum y la estructura de cada tipo de reunión. Una reunión sin una plantilla declarada, dado el tiempo suficiente, acumulará autoridad que no debería tener. Adapta estas plantillas y añade o elimina tipos de reunión según las necesidades de tu comunidad.</w:t>
      </w:r>
    </w:p>
    <w:p>
      <w:r>
        <w:pict>
          <v:rect style="width:0;height:1.5pt" o:hralign="center" o:hrstd="t" o:hr="t"/>
        </w:pict>
      </w:r>
    </w:p>
    <w:bookmarkStart w:id="19" w:name="tipo-de-reunión-operaciones"/>
    <w:p>
      <w:pPr>
        <w:pStyle w:val="Heading2"/>
      </w:pPr>
      <w:r>
        <w:t xml:space="preserve">Tipo de Reunión: Operaciones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Justificación — ¿Por qué una reunión de Operaciones regular</w:t>
      </w:r>
    </w:p>
    <w:p>
      <w:pPr>
        <w:pStyle w:val="BlockText"/>
      </w:pPr>
      <w:r>
        <w:t xml:space="preserve">La coordinación del día a día necesita un ritmo regular, no improvisación ad-hoc. La reunión de Operaciones es el latido de la comunidad — un espacio predecible para revisar el trabajo activo, detectar bloqueos y tomar pequeñas decisiones operativas. Fundamentalmente, solo las decisiones Operativas ocurren aquí; las Estratégicas y Constitucionales pasan por el proceso de gobernanza, así que la reunión no puede acumular silenciosamente autoridad que no tiene.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Define el propósito, el alcance de decisión, los participantes obligatorios y opcionales, la cadencia, la duración y las reglas de facilitación. Mantén el alcance de decisión solo en Operativo.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Propósito:</w:t>
      </w:r>
      <w:r>
        <w:t xml:space="preserve"> </w:t>
      </w:r>
      <w:r>
        <w:rPr>
          <w:i/>
          <w:iCs/>
        </w:rPr>
        <w:t xml:space="preserve">&lt;revisar trabajo activo, coordinar tareas, detectar bloqueos, tomar decisiones operativas.&gt;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Solo decisiones Operativas — no puede tomar decisiones Estratégicas ni Constitucionales.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rPr>
          <w:i/>
          <w:iCs/>
        </w:rPr>
        <w:t xml:space="preserve">&lt;quién está invitado; quórum mínimo.&gt;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rPr>
          <w:i/>
          <w:iCs/>
        </w:rPr>
        <w:t xml:space="preserve">&lt;quién puede asistir por invitación.&gt;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&lt;semanal / quincenal / mensual.&gt;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90 minutos máximo.&gt;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&lt;rol de facilitador/a; regla de sustitución.&gt;</w:t>
      </w:r>
    </w:p>
    <w:bookmarkStart w:id="16" w:name="estructura-de-la-agenda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Revisión de acciones anteriores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Actualizaciones de roles y dominios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Puntos activos de agenda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Decisiones operativas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Próximas acciones y responsables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Check-out</w:t>
      </w:r>
      <w:r>
        <w:t xml:space="preserve"> </w:t>
      </w:r>
      <w:r>
        <w:rPr>
          <w:i/>
          <w:iCs/>
        </w:rPr>
        <w:t xml:space="preserve">&lt;duración; opcional&gt;</w:t>
      </w:r>
    </w:p>
    <w:bookmarkEnd w:id="16"/>
    <w:bookmarkStart w:id="17" w:name="notas-y-registros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Notas:</w:t>
      </w:r>
    </w:p>
    <w:bookmarkEnd w:id="17"/>
    <w:bookmarkStart w:id="18" w:name="registro-de-decisión-si-aplica"/>
    <w:p>
      <w:pPr>
        <w:pStyle w:val="Heading3"/>
      </w:pPr>
      <w:r>
        <w:t xml:space="preserve">Registro de Decisión (si aplica)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Operativa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Autoridad:</w:t>
      </w:r>
      <w:r>
        <w:t xml:space="preserve"> </w:t>
      </w:r>
      <w:r>
        <w:rPr>
          <w:i/>
          <w:iCs/>
        </w:rPr>
        <w:t xml:space="preserve">&lt;titular del rol según la Matriz de Decisión&gt;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Mecanismo / umbral:</w:t>
      </w:r>
      <w:r>
        <w:t xml:space="preserve"> </w:t>
      </w:r>
      <w:r>
        <w:t xml:space="preserve">Autoridad delegada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&lt;qué se decidió&gt;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Fecha de vigencia: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Archivado en:</w:t>
      </w:r>
      <w:r>
        <w:t xml:space="preserve"> </w:t>
      </w:r>
      <w:r>
        <w:rPr>
          <w:i/>
          <w:iCs/>
        </w:rPr>
        <w:t xml:space="preserve">&lt;ubicación&gt;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tipo-de-reunión-gobernanza"/>
    <w:p>
      <w:pPr>
        <w:pStyle w:val="Heading2"/>
      </w:pPr>
      <w:r>
        <w:t xml:space="preserve">Tipo de Reunión: Gobernanza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Justificación — ¿Por qué separar la deliberación de la votación vinculante</w:t>
      </w:r>
    </w:p>
    <w:p>
      <w:pPr>
        <w:pStyle w:val="BlockText"/>
      </w:pPr>
      <w:r>
        <w:t xml:space="preserve">Si una reunión puede tanto discutir como decidir, quien esté en la sala ese día decide — independientemente del quórum o las reglas de autoridad. Mantener la deliberación separada de la votación vinculante preserva la integridad de la Matriz de Decisión y asegura que los miembros ausentes sigan teniendo voto.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Esta reunión delibera sobre propuestas activas durante su período de deliberación. La decisión vinculante se toma a través del proceso de gobernanza según la Matriz de Decisión.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Deliberar sobre una propuesta activa durante su período de deliberación.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Solo deliberación — la decisión vinculante se toma a través del proceso de gobernanza según la Matriz de Decisión.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rPr>
          <w:i/>
          <w:iCs/>
        </w:rPr>
        <w:t xml:space="preserve">&lt;todos los Miembros Plenos invitados; el proponente debe estar presente.&gt;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rPr>
          <w:i/>
          <w:iCs/>
        </w:rPr>
        <w:t xml:space="preserve">&lt;quién puede observar.&gt;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&lt;según sea necesario durante los períodos de deliberación.&gt;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60 minutos máximo.&gt;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&lt;rol de facilitador/a.&gt;</w:t>
      </w:r>
    </w:p>
    <w:bookmarkStart w:id="20" w:name="estructura-de-la-agenda-1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Resumen de la propuesta</w:t>
      </w:r>
      <w:r>
        <w:t xml:space="preserve"> </w:t>
      </w:r>
      <w:r>
        <w:rPr>
          <w:i/>
          <w:iCs/>
        </w:rPr>
        <w:t xml:space="preserve">&lt;duración — el proponente presenta la propuesta: qué cambia, por qué, y alternativas consideradas.&gt;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Preguntas de clarificación</w:t>
      </w:r>
      <w:r>
        <w:t xml:space="preserve"> </w:t>
      </w:r>
      <w:r>
        <w:rPr>
          <w:i/>
          <w:iCs/>
        </w:rPr>
        <w:t xml:space="preserve">&lt;duración — solo preguntas factuales; sin posicionamiento aún.&gt;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Deliberación abierta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Resumen de posiciones y próximos pasos</w:t>
      </w:r>
      <w:r>
        <w:t xml:space="preserve"> </w:t>
      </w:r>
      <w:r>
        <w:rPr>
          <w:i/>
          <w:iCs/>
        </w:rPr>
        <w:t xml:space="preserve">&lt;duración — el facilitador/a resume; confirma el calendario de votación.&gt;</w:t>
      </w:r>
    </w:p>
    <w:bookmarkEnd w:id="20"/>
    <w:bookmarkStart w:id="21" w:name="notas-y-registros-1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Notas:</w:t>
      </w:r>
    </w:p>
    <w:bookmarkEnd w:id="21"/>
    <w:bookmarkStart w:id="22" w:name="registro-de-decisión"/>
    <w:p>
      <w:pPr>
        <w:pStyle w:val="Heading3"/>
      </w:pPr>
      <w:r>
        <w:t xml:space="preserve">Registro de Decisión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Referencia de propuesta: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rPr>
          <w:i/>
          <w:iCs/>
        </w:rPr>
        <w:t xml:space="preserve">&lt;Estratégica / Constitucional&gt;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Autoridad:</w:t>
      </w:r>
      <w:r>
        <w:t xml:space="preserve"> </w:t>
      </w:r>
      <w:r>
        <w:t xml:space="preserve">Miembros Plenos (colectivo)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Mecanismo / umbral:</w:t>
      </w:r>
      <w:r>
        <w:t xml:space="preserve"> </w:t>
      </w:r>
      <w:r>
        <w:rPr>
          <w:i/>
          <w:iCs/>
        </w:rPr>
        <w:t xml:space="preserve">&lt;mecanismo de votación + umbral&gt;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&lt;Aprobada / Rechazada / Aplazada&gt;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Fecha de vigencia: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Enlace de votación: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c7779b7433467ebbc55db1d4b00dcc5d502c665"/>
    <w:p>
      <w:pPr>
        <w:pStyle w:val="Heading2"/>
      </w:pPr>
      <w:r>
        <w:t xml:space="preserve">Tipo de Reunión: Coordinación y Alineación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Justificación — ¿Por qué una reunión de coordinación dedicada</w:t>
      </w:r>
    </w:p>
    <w:p>
      <w:pPr>
        <w:pStyle w:val="BlockText"/>
      </w:pPr>
      <w:r>
        <w:t xml:space="preserve">Algunos bloqueos abarcan más de un rol y no pueden resolverse en el ritmo regular de Operaciones. Coordinación y Alineación le da al trabajo transversal entre roles su propio espacio — para dependencias, traspasos y prioridades en competencia — para que la reunión semanal no se infle intentando absorberlo todo.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Usa esta plantilla cuando se necesite coordinación entre roles. Mantén el alcance de decisión solo en Operativo y limita los participantes obligatorios a quienes tengan iniciativas activas.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Sincronizar el trabajo entre roles e iniciativas; detectar dependencias y bloqueos; alinear prioridades.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Solo decisiones Operativas.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Participantes obligatorios: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Participantes opcionales: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&lt;mensual o según sea necesario.&gt;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60 minutos.&gt;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&lt;facilitador/a; regla de sustitución.&gt;</w:t>
      </w:r>
    </w:p>
    <w:bookmarkStart w:id="24" w:name="estructura-de-la-agenda-2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Actualizaciones de estado de iniciativas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Bloqueos y dependencias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Próximos pasos</w:t>
      </w:r>
      <w:r>
        <w:t xml:space="preserve"> </w:t>
      </w:r>
      <w:r>
        <w:rPr>
          <w:i/>
          <w:iCs/>
        </w:rPr>
        <w:t xml:space="preserve">&lt;duración&gt;</w:t>
      </w:r>
    </w:p>
    <w:bookmarkEnd w:id="24"/>
    <w:bookmarkStart w:id="25" w:name="notas-y-registros-2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Notas: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ipo-de-reunión-reflexión-y-aprendizaje"/>
    <w:p>
      <w:pPr>
        <w:pStyle w:val="Heading2"/>
      </w:pPr>
      <w:r>
        <w:t xml:space="preserve">Tipo de Reunión: Reflexión y Aprendizaje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lockText"/>
      </w:pPr>
      <w:r>
        <w:rPr>
          <w:b/>
          <w:bCs/>
        </w:rPr>
        <w:t xml:space="preserve">Justificación — ¿Por qué darle a la reflexión su propio tipo de reunión</w:t>
      </w:r>
    </w:p>
    <w:p>
      <w:pPr>
        <w:pStyle w:val="BlockText"/>
      </w:pPr>
      <w:r>
        <w:t xml:space="preserve">La reflexión que ocurre solo cuando hay tiempo no ocurre nunca. Un tipo de reunión con nombre y cadencia definida crea el espacio para mirar atrás — y evita que la retrospección quede aplastada por la urgencia operativa. Sin ella, el Registro de Aprendizajes (Capa 6) permanece vacío y el marco deja de evolucionar.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Esta reunión revisa el período más reciente y alimenta los aprendizajes al Registro de Aprendizajes (Capa 6) y a la cola de Propuestas Futuras.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Revisar la experiencia, detectar patrones, capturar aprendizajes, retroalimentar el marco con las conclusiones.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Puede producir propuestas de cambio; no tiene autoridad directa de decisión a menos que esté especificado en la Matriz de Decisión.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Participantes obligatorios: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&lt;trimestral.&gt;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90 minutos.&gt;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&lt;rol de facilitador/a.&gt;</w:t>
      </w:r>
    </w:p>
    <w:bookmarkStart w:id="27" w:name="estructura-de-la-agenda-3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Revisión de los aspectos destacados del período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Qué funcionó bien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Qué no funcionó / qué haríamos diferente</w:t>
      </w:r>
      <w:r>
        <w:t xml:space="preserve"> </w:t>
      </w:r>
      <w:r>
        <w:rPr>
          <w:i/>
          <w:iCs/>
        </w:rPr>
        <w:t xml:space="preserve">&lt;duración; sin culpas, enfocarse en patrones.&gt;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Aprendizajes a llevar adelante</w:t>
      </w:r>
      <w:r>
        <w:t xml:space="preserve"> </w:t>
      </w:r>
      <w:r>
        <w:rPr>
          <w:i/>
          <w:iCs/>
        </w:rPr>
        <w:t xml:space="preserve">&lt;duración; identificar entradas para el Registro de Aprendizajes.&gt;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Actualizaciones al registro de aprendizajes y propuestas futuras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Check-out</w:t>
      </w:r>
      <w:r>
        <w:t xml:space="preserve"> </w:t>
      </w:r>
      <w:r>
        <w:rPr>
          <w:i/>
          <w:iCs/>
        </w:rPr>
        <w:t xml:space="preserve">&lt;duración&gt;</w:t>
      </w:r>
    </w:p>
    <w:bookmarkEnd w:id="27"/>
    <w:bookmarkStart w:id="28" w:name="notas-y-registros-3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Entradas en el Registro de Aprendizajes generadas:</w:t>
      </w:r>
      <w:r>
        <w:t xml:space="preserve"> </w:t>
      </w:r>
      <w:r>
        <w:rPr>
          <w:i/>
          <w:iCs/>
        </w:rPr>
        <w:t xml:space="preserve">&lt;lista o</w:t>
      </w:r>
      <w:r>
        <w:rPr>
          <w:i/>
          <w:iCs/>
        </w:rPr>
        <w:t xml:space="preserve"> </w:t>
      </w:r>
      <w:r>
        <w:rPr>
          <w:i/>
          <w:iCs/>
        </w:rPr>
        <w:t xml:space="preserve">“ninguna”</w:t>
      </w:r>
      <w:r>
        <w:rPr>
          <w:i/>
          <w:iCs/>
        </w:rPr>
        <w:t xml:space="preserve">&gt;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Propuestas futuras añadidas:</w:t>
      </w:r>
      <w:r>
        <w:t xml:space="preserve"> </w:t>
      </w:r>
      <w:r>
        <w:rPr>
          <w:i/>
          <w:iCs/>
        </w:rPr>
        <w:t xml:space="preserve">&lt;lista o</w:t>
      </w:r>
      <w:r>
        <w:rPr>
          <w:i/>
          <w:iCs/>
        </w:rPr>
        <w:t xml:space="preserve"> </w:t>
      </w:r>
      <w:r>
        <w:rPr>
          <w:i/>
          <w:iCs/>
        </w:rPr>
        <w:t xml:space="preserve">“ninguna”</w:t>
      </w:r>
      <w:r>
        <w:rPr>
          <w:i/>
          <w:iCs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ipo-de-reunión-gestión-de-conflictos"/>
    <w:p>
      <w:pPr>
        <w:pStyle w:val="Heading2"/>
      </w:pPr>
      <w:r>
        <w:t xml:space="preserve">Tipo de Reunión: Gestión de Conflictos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  <w:r>
        <w:rPr>
          <w:i/>
          <w:iCs/>
        </w:rPr>
        <w:t xml:space="preserve">; ver también Capa 4 —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Escalera de Resolución de Conflictos</w:t>
        </w:r>
      </w:hyperlink>
    </w:p>
    <w:p>
      <w:pPr>
        <w:pStyle w:val="BlockText"/>
      </w:pPr>
      <w:r>
        <w:rPr>
          <w:b/>
          <w:bCs/>
        </w:rPr>
        <w:t xml:space="preserve">Justificación — ¿Por qué un tipo de reunión distinto para conflictos</w:t>
      </w:r>
    </w:p>
    <w:p>
      <w:pPr>
        <w:pStyle w:val="BlockText"/>
      </w:pPr>
      <w:r>
        <w:t xml:space="preserve">El trabajo con conflictos tiene reglas que otras reuniones no tienen: confidencialidad, selección de Facilitador/a que no depende de la preferencia de las partes, protecciones contra represalias y registros restringidos. Usar la plantilla de Operaciones para una sesión de conflicto violaría silenciosamente todas estas reglas. Una plantilla dedicada hace visible el contenedor diferente desde el primer minuto.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Usa esta plantilla solo para sesiones facilitadas bajo los Pasos 2–4 de la Escalera de Resolución de Conflictos. Las reglas de privacidad y selección del Facilitador/a están gobernadas por la Capa 4, no por la reunión en sí.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Facilitar la resolución en un paso definido de la escalera (Escalera de Resolución de Conflictos, Pasos 2–4).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Produce planes de reparación, acuerdos o decisiones de escalamiento; los resultados vinculantes requieren la autoridad definida en la Escalera de Resolución de Conflictos y la Matriz de Decisión.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t xml:space="preserve">Las partes del conflicto; Facilitador/a asignado/a (según las reglas de selección de la Escalera de Resolución de Conflictos).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t xml:space="preserve">Una persona de apoyo, por consentimiento mutuo por escrito de todas las partes.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Cadencia:</w:t>
      </w:r>
      <w:r>
        <w:t xml:space="preserve"> </w:t>
      </w:r>
      <w:r>
        <w:t xml:space="preserve">Según sea necesario; se activa por recepción del caso.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&lt;típicamente 60–90 minutos; el Facilitador/a puede extender.&gt;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Facilitación:</w:t>
      </w:r>
      <w:r>
        <w:t xml:space="preserve"> </w:t>
      </w:r>
      <w:r>
        <w:t xml:space="preserve">Seleccionado/a según la Escalera de Resolución de Conflictos (Capa 4) — no elegido/a por las partes mismas.</w:t>
      </w:r>
    </w:p>
    <w:p>
      <w:pPr>
        <w:pStyle w:val="BlockText"/>
      </w:pPr>
      <w:r>
        <w:rPr>
          <w:b/>
          <w:bCs/>
        </w:rPr>
        <w:t xml:space="preserve">Nota de privacidad:</w:t>
      </w:r>
      <w:r>
        <w:t xml:space="preserve"> </w:t>
      </w:r>
      <w:r>
        <w:t xml:space="preserve">Los registros de este tipo de reunión están sujetos a los límites de privacidad y acceso a la información definidos en la Escalera de Resolución de Conflictos (Capa 4). No se publican en el registro general de miembros por defecto.</w:t>
      </w:r>
    </w:p>
    <w:bookmarkStart w:id="31" w:name="estructura-de-la-agenda-4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Apertura y reglas básicas</w:t>
      </w:r>
      <w:r>
        <w:t xml:space="preserve"> </w:t>
      </w:r>
      <w:r>
        <w:rPr>
          <w:i/>
          <w:iCs/>
        </w:rPr>
        <w:t xml:space="preserve">&lt;duración; consentimiento, confidencialidad, anti-represalias, derecho a pausar.&gt;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Cada parte comparte su perspectiva</w:t>
      </w:r>
      <w:r>
        <w:t xml:space="preserve"> </w:t>
      </w:r>
      <w:r>
        <w:rPr>
          <w:i/>
          <w:iCs/>
        </w:rPr>
        <w:t xml:space="preserve">&lt;sin interrupciones; tiempo igual.&gt;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Verificación de entendimiento compartido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Necesidades y peticiones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Opciones de reparación o acuerdo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Decisión o siguiente paso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Documentación</w:t>
      </w:r>
      <w:r>
        <w:t xml:space="preserve"> </w:t>
      </w:r>
      <w:r>
        <w:rPr>
          <w:i/>
          <w:iCs/>
        </w:rPr>
        <w:t xml:space="preserve">&lt;duración; registro según las reglas de privacidad de la Capa 4.&gt;</w:t>
      </w:r>
    </w:p>
    <w:bookmarkEnd w:id="31"/>
    <w:bookmarkStart w:id="32" w:name="formato-de-registro"/>
    <w:p>
      <w:pPr>
        <w:pStyle w:val="Heading3"/>
      </w:pPr>
      <w:r>
        <w:t xml:space="preserve">Formato de Registro</w:t>
      </w:r>
    </w:p>
    <w:p>
      <w:pPr>
        <w:pStyle w:val="BlockText"/>
      </w:pPr>
      <w:r>
        <w:t xml:space="preserve">Este registro es confidencial. El acceso está restringido según la Escalera de Resolución de Conflictos (Capa 4).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Partes presentes: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Paso de la escalera: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Clase de conflicto: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&lt;Acuerdo alcanzado / Escalado al siguiente paso / Aplazado&gt;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Acciones acordadas (si las hay):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Destino de escalamiento (si aplica):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Solo las partes y el Facilitador/a; se divulga a los Miembros Plenos solo si se escala al paso de gobernanza.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https://rcos.ecohubs.community/es/articles/rcos-core/v0-1/layer-4-conflict-repair-accountability#62-resolution-pathways" TargetMode="External" /><Relationship Type="http://schemas.openxmlformats.org/officeDocument/2006/relationships/hyperlink" Id="rId14" Target="https://rcos.ecohubs.community/es/articles/rcos-core/v0-1/layer-5-operations-coordination#72-meeting-system" TargetMode="External" /><Relationship Type="http://schemas.openxmlformats.org/officeDocument/2006/relationships/hyperlink" Id="rId15" Target="https://rcos.ecohubs.community/es/articles/rcos-core/v0-1/layer-5-operations-coordination#76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meeting-templa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rcos.ecohubs.community/es/articles/rcos-core/v0-1/layer-4-conflict-repair-accountability#62-resolution-pathways" TargetMode="External" /><Relationship Type="http://schemas.openxmlformats.org/officeDocument/2006/relationships/hyperlink" Id="rId14" Target="https://rcos.ecohubs.community/es/articles/rcos-core/v0-1/layer-5-operations-coordination#72-meeting-system" TargetMode="External" /><Relationship Type="http://schemas.openxmlformats.org/officeDocument/2006/relationships/hyperlink" Id="rId15" Target="https://rcos.ecohubs.community/es/articles/rcos-core/v0-1/layer-5-operations-coordination#76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meeting-templa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2026-06-26T01:38:47Z</dcterms:created>
  <dcterms:modified xsi:type="dcterms:W3CDTF">2026-06-26T01:38:47Z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Plantillas de Reuniones</vt:lpwstr>
  </property>
</Properties>
</file>