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èles-rcos"/>
    <w:p>
      <w:pPr>
        <w:pStyle w:val="Heading1"/>
      </w:pPr>
      <w:r>
        <w:t xml:space="preserve">Modèles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Généré: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(version la plus récente):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https://rcos.ecohubs.community/fr/articles/rcos-templates</w:t>
          </w:r>
        </w:hyperlink>
      </w:hyperlink>
    </w:p>
    <w:p>
      <w:pPr>
        <w:pStyle w:val="FirstParagraph"/>
      </w:pPr>
      <w:r>
        <w:t xml:space="preserve">Ce paquet contient tous les modèles RCOS, prêts à être copiés et adaptés à votre communauté.</w:t>
      </w:r>
    </w:p>
    <w:p>
      <w:pPr>
        <w:pStyle w:val="BodyText"/>
      </w:pPr>
      <w:r>
        <w:t xml:space="preserve">Chaque modèle inclut un bloc de justification (pourquoi la section existe) et des instructions (comment la remplir).</w:t>
      </w:r>
    </w:p>
    <w:bookmarkStart w:id="39" w:name="modèles"/>
    <w:p>
      <w:pPr>
        <w:pStyle w:val="Heading2"/>
      </w:pPr>
      <w:r>
        <w:t xml:space="preserve">Modèles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Registre des contraintes d'identité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Registre des invariants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Charte de raison d'être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Déclaration de périmètre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Protocole de sortie et de séparation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Accord d'adhésion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Registre des états de membre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Protocole d'intégration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Registre des autorités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Matrice de décision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Protocole de gouvernance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Protocole d'économie interne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Règles de trésorerie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Protocole de responsabilisation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Échelle de résolution des conflits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Modèles de réunion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Manuel opérationnel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Registre des rôles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Protocole de changement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Modèle d'expérimentation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Journal d'apprentissage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Historique des versions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f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f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2026-06-26T01:38:52Z</dcterms:created>
  <dcterms:modified xsi:type="dcterms:W3CDTF">2026-06-26T01:38:52Z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Modèles RCOS</vt:lpwstr>
  </property>
</Properties>
</file>