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22" w:name="protocolo-de-saída-e-separação"/>
    <w:p>
      <w:pPr>
        <w:pStyle w:val="Heading1"/>
      </w:pPr>
      <w:r>
        <w:t xml:space="preserve">Protocolo de Saída e Separação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https://rcos.ecohubs.community/pt-br/articles/rcos-templates/layer-1/exit-protocol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1 — Sistema de Membresia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§3.6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§3.7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§3.8</w:t>
        </w:r>
      </w:hyperlink>
    </w:p>
    <w:p>
      <w:r>
        <w:pict>
          <v:rect style="width:0;height:1.5pt" o:hralign="center" o:hrstd="t" o:hr="t"/>
        </w:pict>
      </w:r>
    </w:p>
    <w:bookmarkStart w:id="17" w:name="saída-voluntária"/>
    <w:p>
      <w:pPr>
        <w:pStyle w:val="Heading2"/>
      </w:pPr>
      <w:r>
        <w:t xml:space="preserve">Saída Voluntária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3.6.1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3.6.2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3.6.4</w:t>
        </w:r>
      </w:hyperlink>
    </w:p>
    <w:p>
      <w:pPr>
        <w:pStyle w:val="BlockText"/>
      </w:pPr>
      <w:r>
        <w:rPr>
          <w:b/>
          <w:bCs/>
        </w:rPr>
        <w:t xml:space="preserve">Justificativa — Por que tornar a saída sem atritos</w:t>
      </w:r>
    </w:p>
    <w:p>
      <w:pPr>
        <w:pStyle w:val="BlockText"/>
      </w:pPr>
      <w:r>
        <w:t xml:space="preserve">Uma comunidade da qual é difícil sair não é uma comunidade — é uma armadilha. A saída voluntária deve estar disponível a qualquer momento, sem interrogatórios, períodos de aviso prévio ou punições, porque o direito de retirar o consentimento é o que torna real cada outro ato de consentimento. Reter o histórico de contribuições separadamente garante que sair não apague o trabalho que a pessoa realizou.</w:t>
      </w:r>
    </w:p>
    <w:p>
      <w:pPr>
        <w:pStyle w:val="BlockText"/>
      </w:pPr>
      <w:r>
        <w:rPr>
          <w:b/>
          <w:bCs/>
        </w:rPr>
        <w:t xml:space="preserve">Instruções — Como preencher esta seção</w:t>
      </w:r>
    </w:p>
    <w:p>
      <w:pPr>
        <w:pStyle w:val="BlockText"/>
      </w:pPr>
      <w:r>
        <w:t xml:space="preserve">Descreva o canal para submeter a saída, o tempo até a revogação de acesso, quais registros são retidos e a transição de estado resultante.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&lt;Como um membro submete uma saída voluntária; motivos opcionais.&gt;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&lt;Período de aviso prévio ou expectativa de transferência de responsabilidades, se houver.&gt;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&lt;Tempo até a revogação do acesso (por exemplo, dentro de 24 horas após a confirmação).&gt;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&lt;O que é retido — histórico de contribuições, registros de reconhecimento — e o que é removido.&gt;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&lt;Transição de estado resultante (por exemplo, para Membro Saído).&gt;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&lt;Onde e como a saída é registrada com data e hora.&gt;</w:t>
      </w:r>
    </w:p>
    <w:bookmarkEnd w:id="17"/>
    <w:bookmarkStart w:id="18" w:name="saída-forçada"/>
    <w:p>
      <w:pPr>
        <w:pStyle w:val="Heading2"/>
      </w:pPr>
      <w:r>
        <w:t xml:space="preserve">Saída Forçada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3.6.3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3.6.4</w:t>
        </w:r>
      </w:hyperlink>
    </w:p>
    <w:p>
      <w:pPr>
        <w:pStyle w:val="BlockText"/>
      </w:pPr>
      <w:r>
        <w:rPr>
          <w:b/>
          <w:bCs/>
        </w:rPr>
        <w:t xml:space="preserve">Justificativa — Por que condicionar a remoção à Camada 4</w:t>
      </w:r>
    </w:p>
    <w:p>
      <w:pPr>
        <w:pStyle w:val="BlockText"/>
      </w:pPr>
      <w:r>
        <w:t xml:space="preserve">A remoção é o poder mais agudo que a comunidade detém sobre uma pessoa. Se puder ser exercida por qualquer um com influência social suficiente, a membresia não vale nada. Exigir uma decisão concluída de responsabilização na Camada 4 — com motivos por escrito, uma notificação e uma janela mínima de reaplicação — transforma a remoção de um ato de poder em um ato de governança que pode ser revisado e contestado.</w:t>
      </w:r>
    </w:p>
    <w:p>
      <w:pPr>
        <w:pStyle w:val="BlockText"/>
      </w:pPr>
      <w:r>
        <w:rPr>
          <w:b/>
          <w:bCs/>
        </w:rPr>
        <w:t xml:space="preserve">Instruções — Como preencher esta seção</w:t>
      </w:r>
    </w:p>
    <w:p>
      <w:pPr>
        <w:pStyle w:val="BlockText"/>
      </w:pPr>
      <w:r>
        <w:t xml:space="preserve">Declare que a saída forçada só pode seguir um processo de responsabilização concluído na Camada 4. Defina notificação, revogação de acesso, registros retidos, bloqueio de reaplicação e privacidade do registro da decisão.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&lt;A saída forçada só pode resultar de um processo de responsabilização concluído na Camada 4 com uma decisão documentada.&gt;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 membro afetado DEVE ser notificado por escrito com o motivo e a referência ao registro da decisão antes que o acesso seja revogado.&gt;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&lt;Tempo até a revogação do acesso (por exemplo, dentro de 24 horas após a decisão).&gt;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&lt;O que é retido, o que é removido.&gt;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&lt;Bloqueio de reaplicação (duração mínima, definida pela decisão de responsabilização; referenciar Camada 4).&gt;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&lt;Privacidade do registro da decisão (referenciar as regras de privacidade da Escada de Resolução de Conflitos).&gt;</w:t>
      </w:r>
    </w:p>
    <w:bookmarkEnd w:id="18"/>
    <w:bookmarkStart w:id="19" w:name="suspensão"/>
    <w:p>
      <w:pPr>
        <w:pStyle w:val="Heading2"/>
      </w:pPr>
      <w:r>
        <w:t xml:space="preserve">Suspensão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3.7.1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3.7.2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3.7.3</w:t>
        </w:r>
      </w:hyperlink>
    </w:p>
    <w:p>
      <w:pPr>
        <w:pStyle w:val="BlockText"/>
      </w:pPr>
      <w:r>
        <w:rPr>
          <w:b/>
          <w:bCs/>
        </w:rPr>
        <w:t xml:space="preserve">Justificativa — Por que projetar a suspensão com cuidado ou simplesmente não tê-la</w:t>
      </w:r>
    </w:p>
    <w:p>
      <w:pPr>
        <w:pStyle w:val="BlockText"/>
      </w:pPr>
      <w:r>
        <w:t xml:space="preserve">Um estado de suspensão mal projetado é pior do que nenhum — torna-se uma saída disfarçada sem devido processo, ou um limbo indefinido usado para punir sem a responsabilização de uma remoção completa. Se a comunidade não consegue se comprometer com condições explícitas, limites de tempo e mecanismos de revisão, é mais seguro não ter suspensão formal do que ter uma frouxa.</w:t>
      </w:r>
    </w:p>
    <w:p>
      <w:pPr>
        <w:pStyle w:val="BlockText"/>
      </w:pPr>
      <w:r>
        <w:rPr>
          <w:b/>
          <w:bCs/>
        </w:rPr>
        <w:t xml:space="preserve">Instruções — Como preencher esta seção</w:t>
      </w:r>
    </w:p>
    <w:p>
      <w:pPr>
        <w:pStyle w:val="BlockText"/>
      </w:pPr>
      <w:r>
        <w:t xml:space="preserve">Defina a suspensão explicitamente (condições de entrada, limites de tempo, direitos durante a suspensão, mecanismo de revisão, saída) ou declare que não existe suspensão formal. Não deixe esta seção ambígua.</w:t>
      </w:r>
    </w:p>
    <w:p>
      <w:pPr>
        <w:pStyle w:val="FirstParagraph"/>
      </w:pPr>
      <w:r>
        <w:rPr>
          <w:i/>
          <w:iCs/>
        </w:rPr>
        <w:t xml:space="preserve">&lt;Ou: defina o estado de suspensão com condições de entrada, duração máxima, direitos durante a suspensão, mecanismo de revisão obrigatório e saída; ou: declare que a suspensão formal não está atualmente definida.&gt;</w:t>
      </w:r>
    </w:p>
    <w:bookmarkEnd w:id="19"/>
    <w:bookmarkStart w:id="20" w:name="Xeec61682f962ab76ca8253cf3486628e4771d14"/>
    <w:p>
      <w:pPr>
        <w:pStyle w:val="Heading2"/>
      </w:pPr>
      <w:r>
        <w:t xml:space="preserve">Separação de Ativos, Papéis e Responsabilidades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3.6.5</w:t>
        </w:r>
      </w:hyperlink>
    </w:p>
    <w:p>
      <w:pPr>
        <w:pStyle w:val="BlockText"/>
      </w:pPr>
      <w:r>
        <w:rPr>
          <w:b/>
          <w:bCs/>
        </w:rPr>
        <w:t xml:space="preserve">Justificativa — Por que enumerar os passos de separação</w:t>
      </w:r>
    </w:p>
    <w:p>
      <w:pPr>
        <w:pStyle w:val="BlockText"/>
      </w:pPr>
      <w:r>
        <w:t xml:space="preserve">Quando alguém sai, cada fio solto — um papel que ninguém desocupou, uma chave de carteira ainda ativa, uma tarefa ainda atribuída — torna-se uma superfície de ataque ativa ou uma lacuna operacional. Uma lista de verificação força que esses fios sejam encerrados deliberadamente, e não descobertos meses depois quando algo quebra ou alguém abusa de um acesso que já não deveria mais ter.</w:t>
      </w:r>
    </w:p>
    <w:p>
      <w:pPr>
        <w:pStyle w:val="BlockText"/>
      </w:pPr>
      <w:r>
        <w:rPr>
          <w:b/>
          <w:bCs/>
        </w:rPr>
        <w:t xml:space="preserve">Instruções — Como preencher esta seção</w:t>
      </w:r>
    </w:p>
    <w:p>
      <w:pPr>
        <w:pStyle w:val="BlockText"/>
      </w:pPr>
      <w:r>
        <w:t xml:space="preserve">Forneça uma lista de verificação aplicada tanto às saídas voluntárias quanto às forçadas. Inclua a desocupação de papéis, liberação de tarefas, remoção de acesso a instrumentos financeiros, revogação de administração em plataformas e resolução de obrigações pendentes.</w:t>
      </w:r>
    </w:p>
    <w:p>
      <w:pPr>
        <w:pStyle w:val="FirstParagraph"/>
      </w:pPr>
      <w:r>
        <w:t xml:space="preserve">Os seguintes passos de separação se aplicam tanto às saídas voluntárias quanto às forçadas: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&lt;Os papéis ocupados DEVEM ser desocupados e documentados no Registro de Papéis.&gt;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&lt;O acesso à tesouraria / carteira / assinatura DEVE ser removido.&gt;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&lt;Todo acesso administrativo às plataformas DEVE ser revogado.&gt;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&lt;Obrigações pendentes resolvidas ou transferidas antes que a saída seja finalizada, sempre que possível.&gt;</w:t>
      </w:r>
    </w:p>
    <w:p>
      <w:r>
        <w:pict>
          <v:rect style="width:0;height:1.5pt" o:hralign="center" o:hrstd="t" o:hr="t"/>
        </w:pict>
      </w:r>
    </w:p>
    <w:bookmarkEnd w:id="20"/>
    <w:bookmarkStart w:id="21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Adotado em: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Registro da decisão:</w:t>
      </w:r>
      <w:r>
        <w:t xml:space="preserve"> </w:t>
      </w:r>
      <w:r>
        <w:t xml:space="preserve">&lt;link para o registro da decisão&gt;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1-membership-system#36-exit-and-separation" TargetMode="External" /><Relationship Type="http://schemas.openxmlformats.org/officeDocument/2006/relationships/hyperlink" Id="rId15" Target="https://rcos.ecohubs.community/pt-br/articles/rcos-core/v0-1/layer-1-membership-system#37-suspension-and-temporary-status" TargetMode="External" /><Relationship Type="http://schemas.openxmlformats.org/officeDocument/2006/relationships/hyperlink" Id="rId16" Target="https://rcos.ecohubs.community/pt-br/articles/rcos-core/v0-1/layer-1-membership-system#38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1/exit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1-membership-system#36-exit-and-separation" TargetMode="External" /><Relationship Type="http://schemas.openxmlformats.org/officeDocument/2006/relationships/hyperlink" Id="rId15" Target="https://rcos.ecohubs.community/pt-br/articles/rcos-core/v0-1/layer-1-membership-system#37-suspension-and-temporary-status" TargetMode="External" /><Relationship Type="http://schemas.openxmlformats.org/officeDocument/2006/relationships/hyperlink" Id="rId16" Target="https://rcos.ecohubs.community/pt-br/articles/rcos-core/v0-1/layer-1-membership-system#38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1/exit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2026-06-26T01:38:54Z</dcterms:created>
  <dcterms:modified xsi:type="dcterms:W3CDTF">2026-06-26T01:38:54Z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Protocolo de Saída e Separação</vt:lpwstr>
  </property>
</Properties>
</file>