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2" w:name="matriz-de-decisão"/>
    <w:p>
      <w:pPr>
        <w:pStyle w:val="Heading1"/>
      </w:pPr>
      <w:r>
        <w:t xml:space="preserve">Matriz de Decisão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https://rcos.ecohubs.community/pt-br/articles/rcos-templates/layer-2/decision-matrix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2 — Governança e Lógica de Decisão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§4.2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§4.4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§4.7</w:t>
        </w:r>
      </w:hyperlink>
    </w:p>
    <w:p>
      <w:pPr>
        <w:pStyle w:val="BlockText"/>
      </w:pPr>
      <w:r>
        <w:t xml:space="preserve">Mapeia cada tipo e domínio de decisão para um papel ou órgão autorizado, mecanismo, limiar e caminho de escalonamento. Decisões tomadas fora desta matriz são consideradas inválidas.</w:t>
      </w:r>
    </w:p>
    <w:p>
      <w:r>
        <w:pict>
          <v:rect style="width:0;height:1.5pt" o:hralign="center" o:hrstd="t" o:hr="t"/>
        </w:pict>
      </w:r>
    </w:p>
    <w:bookmarkStart w:id="17" w:name="princípios-de-votação"/>
    <w:p>
      <w:pPr>
        <w:pStyle w:val="Heading2"/>
      </w:pPr>
      <w:r>
        <w:t xml:space="preserve">Princípios de Votação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4.2.4</w:t>
        </w:r>
      </w:hyperlink>
    </w:p>
    <w:p>
      <w:pPr>
        <w:pStyle w:val="BlockText"/>
      </w:pPr>
      <w:r>
        <w:rPr>
          <w:b/>
          <w:bCs/>
        </w:rPr>
        <w:t xml:space="preserve">Justificativa — Por que fixar mecanismo, limiar e prazos</w:t>
      </w:r>
    </w:p>
    <w:p>
      <w:pPr>
        <w:pStyle w:val="BlockText"/>
      </w:pPr>
      <w:r>
        <w:t xml:space="preserve">Uma votação sem mecanismo, limiar e janela de deliberação predefinidos é um convite para fabricar resultados depois do fato — quem conta os votos ou define o relógio vence. Declarar esses parâmetros com antecedência torna cada decisão coletiva reproduzível e contestável nos mesmos termos, independentemente de quem está na sala.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Indique a plataforma de votação, o limiar para cada tipo de decisão, o período de deliberação, a regra de empate, a regra de nova votação e qualquer limite de gastos ou escopo da autoridade delegada.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Plataforma de votação:</w:t>
      </w:r>
      <w:r>
        <w:t xml:space="preserve"> </w:t>
      </w:r>
      <w:r>
        <w:rPr>
          <w:i/>
          <w:iCs/>
        </w:rPr>
        <w:t xml:space="preserve">&lt;ex.: Snapshot, Loomio, consenso presencial.&gt;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Limiar operacional:</w:t>
      </w:r>
      <w:r>
        <w:t xml:space="preserve"> </w:t>
      </w:r>
      <w:r>
        <w:rPr>
          <w:i/>
          <w:iCs/>
        </w:rPr>
        <w:t xml:space="preserve">&lt;ex.: nenhuma votação necessária — delegada ao detentor do papel operacional relevante conforme o Registro de Papéis.&gt;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Limiar estratégico:</w:t>
      </w:r>
      <w:r>
        <w:t xml:space="preserve"> </w:t>
      </w:r>
      <w:r>
        <w:rPr>
          <w:i/>
          <w:iCs/>
        </w:rPr>
        <w:t xml:space="preserve">&lt;ex.: maioria simples (&gt;50%); deliberação mínima de X dias.&gt;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Limiar constitucional:</w:t>
      </w:r>
      <w:r>
        <w:t xml:space="preserve"> </w:t>
      </w:r>
      <w:r>
        <w:rPr>
          <w:i/>
          <w:iCs/>
        </w:rPr>
        <w:t xml:space="preserve">&lt;ex.: supermaioria (≥⅔); deliberação mínima de Y dias; período de ratificação de Z dias.&gt;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Empate:</w:t>
      </w:r>
      <w:r>
        <w:t xml:space="preserve"> </w:t>
      </w:r>
      <w:r>
        <w:rPr>
          <w:i/>
          <w:iCs/>
        </w:rPr>
        <w:t xml:space="preserve">&lt;ex.: a proposta falha; o status quo é mantido.&gt;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Nova votação:</w:t>
      </w:r>
      <w:r>
        <w:t xml:space="preserve"> </w:t>
      </w:r>
      <w:r>
        <w:rPr>
          <w:i/>
          <w:iCs/>
        </w:rPr>
        <w:t xml:space="preserve">&lt;ex.: qualquer Membro Pleno pode acionar nova votação com uma objeção escrita e fundamentada citando uma consideração não abordada durante a deliberação.&gt;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Objeção fundamentada:</w:t>
      </w:r>
      <w:r>
        <w:t xml:space="preserve"> </w:t>
      </w:r>
      <w:r>
        <w:rPr>
          <w:i/>
          <w:iCs/>
        </w:rPr>
        <w:t xml:space="preserve">&lt;defina o que qualifica como objeção fundamentada — citar uma consideração específica não levantada durante a deliberação; discordância geral não qualifica.&gt;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 de gastos da autoridade delegada:</w:t>
      </w:r>
      <w:r>
        <w:t xml:space="preserve"> </w:t>
      </w:r>
      <w:r>
        <w:rPr>
          <w:i/>
          <w:iCs/>
        </w:rPr>
        <w:t xml:space="preserve">&lt;ex.: R$ 0; ou defina um limiar abaixo do qual gastos delegados são permitidos.&gt;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&lt;Outros princípios de votação que sua comunidade queira declarar.&gt;</w:t>
      </w:r>
    </w:p>
    <w:p>
      <w:r>
        <w:pict>
          <v:rect style="width:0;height:1.5pt" o:hralign="center" o:hrstd="t" o:hr="t"/>
        </w:pict>
      </w:r>
    </w:p>
    <w:bookmarkEnd w:id="17"/>
    <w:bookmarkStart w:id="18" w:name="matriz"/>
    <w:p>
      <w:pPr>
        <w:pStyle w:val="Heading2"/>
      </w:pPr>
      <w:r>
        <w:t xml:space="preserve">Matriz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4.4.4</w:t>
        </w:r>
      </w:hyperlink>
    </w:p>
    <w:p>
      <w:pPr>
        <w:pStyle w:val="BlockText"/>
      </w:pPr>
      <w:r>
        <w:rPr>
          <w:b/>
          <w:bCs/>
        </w:rPr>
        <w:t xml:space="preserve">Justificativa — Por que uma única matriz autoritativa</w:t>
      </w:r>
    </w:p>
    <w:p>
      <w:pPr>
        <w:pStyle w:val="BlockText"/>
      </w:pPr>
      <w:r>
        <w:t xml:space="preserve">Se as regras sobre quem decide o quê vivem na cabeça das pessoas, a autoridade vira o que a pessoa mais barulhenta ou mais sênior disser. Uma matriz pública que vincula cada decisão a um domínio, órgão, mecanismo e limiar torna ações fora de escopo visíveis no momento em que acontecem — e torna qualquer decisão tomada fora dela inválida por construção.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domínio de decisão (admissão de membros, tesouraria, plataforma, parcerias, governança etc.), defina o tipo de decisão, o órgão autorizado, quem é elegível para participar, o mecanismo, o limiar, as condições de bloqueio e o caminho de escalonamento.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 da Decisão</w:t>
            </w:r>
          </w:p>
        </w:tc>
        <w:tc>
          <w:tcPr/>
          <w:p>
            <w:pPr>
              <w:pStyle w:val="Compact"/>
            </w:pPr>
            <w:r>
              <w:t xml:space="preserve">Tipo de Decisão</w:t>
            </w:r>
          </w:p>
        </w:tc>
        <w:tc>
          <w:tcPr/>
          <w:p>
            <w:pPr>
              <w:pStyle w:val="Compact"/>
            </w:pPr>
            <w:r>
              <w:t xml:space="preserve">Órgão Autorizado</w:t>
            </w:r>
          </w:p>
        </w:tc>
        <w:tc>
          <w:tcPr/>
          <w:p>
            <w:pPr>
              <w:pStyle w:val="Compact"/>
            </w:pPr>
            <w:r>
              <w:t xml:space="preserve">Participantes Elegíveis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Limiar</w:t>
            </w:r>
          </w:p>
        </w:tc>
        <w:tc>
          <w:tcPr/>
          <w:p>
            <w:pPr>
              <w:pStyle w:val="Compact"/>
            </w:pPr>
            <w:r>
              <w:t xml:space="preserve">Condições de Bloqueio / Veto</w:t>
            </w:r>
          </w:p>
        </w:tc>
        <w:tc>
          <w:tcPr/>
          <w:p>
            <w:pPr>
              <w:pStyle w:val="Compact"/>
            </w:pPr>
            <w:r>
              <w:t xml:space="preserve">Escalonamento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Admissão de membros&gt;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&lt;Operacional / Estratégica / Constitucional&gt;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&lt;papel ou órgão&gt;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&lt;votação / delegada&gt;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&lt;condições de bloqueio&gt;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Gastos da tesouraria — pequenos&gt;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Gastos da tesouraria — grandes&gt;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Mudanças nas regras de governança&gt;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&lt;ex.: Mudanças de propósito primário / invariantes&gt;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Detentores de papéis operacionais:</w:t>
      </w:r>
      <w:r>
        <w:t xml:space="preserve"> </w:t>
      </w:r>
      <w:r>
        <w:t xml:space="preserve">Cada decisão operacional é executada pelo detentor do papel nomeado responsável por aquele domínio, agindo dentro de seu escopo definido conforme o Registro de Papéis (Camada 5). Quando uma decisão abrange múltiplos domínios, cada detentor de papel age dentro de seu próprio escopo.</w:t>
      </w:r>
    </w:p>
    <w:bookmarkEnd w:id="18"/>
    <w:bookmarkStart w:id="20" w:name="definições-dos-tipos-de-decisão"/>
    <w:p>
      <w:pPr>
        <w:pStyle w:val="Heading2"/>
      </w:pPr>
      <w:r>
        <w:t xml:space="preserve">Definições dos Tipos de Decisão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4.1.1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4.1.2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4.1.3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4.1.4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4.1.5</w:t>
        </w:r>
      </w:hyperlink>
    </w:p>
    <w:p>
      <w:pPr>
        <w:pStyle w:val="BlockText"/>
      </w:pPr>
      <w:r>
        <w:rPr>
          <w:b/>
          <w:bCs/>
        </w:rPr>
        <w:t xml:space="preserve">Justificativa — Por que classificar cada decisão</w:t>
      </w:r>
    </w:p>
    <w:p>
      <w:pPr>
        <w:pStyle w:val="BlockText"/>
      </w:pPr>
      <w:r>
        <w:t xml:space="preserve">Sem um tipo, cada decisão é tratada na velocidade e com o rigor que calhar no momento — mudanças rotineiras travam em debates, e mudanças constitucionais passam despercebidas. Tipos fixos vinculam o peso de uma decisão ao processo pelo qual ela precisa passar, e a regra do tipo-mais-alto-por-padrão fecha a brecha onde a ambiguidade seria explorada.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cada tipo de decisão pelo que ele abrange, quem o executa, qual processo exige e como disputas sobre classificação são resolvidas.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Operacional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&lt;funcionamento cotidiano dentro das regras existentes; executado pelo detentor do papel relevante sem votação.&gt;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Estratégica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&lt;direção de longo prazo, alocação significativa de recursos, criação/remoção de estruturas importantes; requer votação dos Membros Plenos com um período de deliberação definido.&gt;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Constitucional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&lt;mudanças na Camada 0 (propósito, escopo, invariantes) ou no próprio sistema de governança; requer votação dos Membros Plenos, supermaioria e um período de ratificação.&gt;</w:t>
      </w:r>
    </w:p>
    <w:p>
      <w:pPr>
        <w:pStyle w:val="BlockText"/>
      </w:pPr>
      <w:r>
        <w:t xml:space="preserve">Se uma decisão não puder ser claramente classificada, ela é tratada por padrão como o tipo de maior impacto.</w:t>
      </w:r>
    </w:p>
    <w:p>
      <w:r>
        <w:pict>
          <v:rect style="width:0;height:1.5pt" o:hralign="center" o:hrstd="t" o:hr="t"/>
        </w:pict>
      </w:r>
    </w:p>
    <w:bookmarkEnd w:id="20"/>
    <w:bookmarkStart w:id="21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pt-br/articles/rcos-core/v0-1/layer-2-governance-decision-logic#41-decision-types" TargetMode="External" /><Relationship Type="http://schemas.openxmlformats.org/officeDocument/2006/relationships/hyperlink" Id="rId14" Target="https://rcos.ecohubs.community/pt-br/articles/rcos-core/v0-1/layer-2-governance-decision-logic#42-decision-mechanisms" TargetMode="External" /><Relationship Type="http://schemas.openxmlformats.org/officeDocument/2006/relationships/hyperlink" Id="rId15" Target="https://rcos.ecohubs.community/pt-br/articles/rcos-core/v0-1/layer-2-governance-decision-logic#44-decision-matrix" TargetMode="External" /><Relationship Type="http://schemas.openxmlformats.org/officeDocument/2006/relationships/hyperlink" Id="rId16" Target="https://rcos.ecohubs.community/pt-br/articles/rcos-core/v0-1/layer-2-governance-decision-logic#47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2/decision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pt-br/articles/rcos-core/v0-1/layer-2-governance-decision-logic#41-decision-types" TargetMode="External" /><Relationship Type="http://schemas.openxmlformats.org/officeDocument/2006/relationships/hyperlink" Id="rId14" Target="https://rcos.ecohubs.community/pt-br/articles/rcos-core/v0-1/layer-2-governance-decision-logic#42-decision-mechanisms" TargetMode="External" /><Relationship Type="http://schemas.openxmlformats.org/officeDocument/2006/relationships/hyperlink" Id="rId15" Target="https://rcos.ecohubs.community/pt-br/articles/rcos-core/v0-1/layer-2-governance-decision-logic#44-decision-matrix" TargetMode="External" /><Relationship Type="http://schemas.openxmlformats.org/officeDocument/2006/relationships/hyperlink" Id="rId16" Target="https://rcos.ecohubs.community/pt-br/articles/rcos-core/v0-1/layer-2-governance-decision-logic#47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2/decision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Matriz de Decisão</vt:lpwstr>
  </property>
</Properties>
</file>