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28" w:name="manual-de-operações"/>
    <w:p>
      <w:pPr>
        <w:pStyle w:val="Heading1"/>
      </w:pPr>
      <w:r>
        <w:t xml:space="preserve">Manual de Operações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https://rcos.ecohubs.community/pt-br/articles/rcos-templates/layer-5/operations-manual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5 — Operações e Coordenação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§7.1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§7.3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§7.4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§7.5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§7.6</w:t>
        </w:r>
      </w:hyperlink>
    </w:p>
    <w:p>
      <w:r>
        <w:pict>
          <v:rect style="width:0;height:1.5pt" o:hralign="center" o:hrstd="t" o:hr="t"/>
        </w:pict>
      </w:r>
    </w:p>
    <w:bookmarkStart w:id="20" w:name="processos-operacionais-essenciais"/>
    <w:p>
      <w:pPr>
        <w:pStyle w:val="Heading2"/>
      </w:pPr>
      <w:r>
        <w:t xml:space="preserve">Processos Operacionais Essenciais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7.7.2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7.6.3</w:t>
        </w:r>
      </w:hyperlink>
    </w:p>
    <w:p>
      <w:pPr>
        <w:pStyle w:val="BlockText"/>
      </w:pPr>
      <w:r>
        <w:rPr>
          <w:b/>
          <w:bCs/>
        </w:rPr>
        <w:t xml:space="preserve">Justificativa — Por que documentar processos críticos</w:t>
      </w:r>
    </w:p>
    <w:p>
      <w:pPr>
        <w:pStyle w:val="BlockText"/>
      </w:pPr>
      <w:r>
        <w:t xml:space="preserve">Se um processo só existe na cabeça de uma pessoa, a comunidade depende dela aparecer — para sempre. Escrever os processos críticos, com pessoas responsáveis nomeadas, é o que transforma conhecimento privado em um ativo comunitário que sobrevive a transições, ausências e saídas.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Para cada processo crítico recorrente (acolhimento, saída, publicação de propostas, registro de contribuições, cadência de reuniões, gestão de tesouraria, revisão de acesso a plataformas), nomeie uma pessoa responsável e uma breve descrição.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Processo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Protocolo de Acolhimento (Camada 1)&gt;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&lt;Saída de membros&gt;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Protocolo de Saída e Separação (Camada 1)&gt;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&lt;Publicação de propostas&gt;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Protocolo de Governança (Camada 2)&gt;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&lt;Registro de contribuições&gt;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Protocolo de Economia Interna (Camada 3)&gt;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&lt;Reunião recorrente&gt;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&lt;facilitador(a)&gt;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&lt;publicação de pauta; notas; acompanhamento de ações&gt;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&lt;Gestão de tesouraria&gt;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&lt;responsável financeiro&gt;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Regulamento de Tesouraria (Camada 3)&gt;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&lt;Revisão de acesso a plataformas&gt;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&lt;responsável por infraestrutura&gt;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&lt;cadência de revisão; revogação de acesso de membros que saíram&gt;</w:t>
            </w:r>
          </w:p>
        </w:tc>
      </w:tr>
    </w:tbl>
    <w:bookmarkEnd w:id="20"/>
    <w:bookmarkStart w:id="21" w:name="responsabilidades-temporárias-e-ad-hoc"/>
    <w:p>
      <w:pPr>
        <w:pStyle w:val="Heading2"/>
      </w:pPr>
      <w:r>
        <w:t xml:space="preserve">Responsabilidades Temporárias e Ad-Hoc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7.1.5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7.7.1</w:t>
        </w:r>
      </w:hyperlink>
    </w:p>
    <w:p>
      <w:pPr>
        <w:pStyle w:val="BlockText"/>
      </w:pPr>
      <w:r>
        <w:rPr>
          <w:b/>
          <w:bCs/>
        </w:rPr>
        <w:t xml:space="preserve">Justificativa — Por que limitar as responsabilidades temporárias</w:t>
      </w:r>
    </w:p>
    <w:p>
      <w:pPr>
        <w:pStyle w:val="BlockText"/>
      </w:pPr>
      <w:r>
        <w:t xml:space="preserve">Tarefas ad-hoc silenciosamente se cristalizam em trabalhos permanentes não remunerados — geralmente sobre quem disse sim uma vez. Um prazo rígido e uma revisão obrigatória fazem a diferença entre</w:t>
      </w:r>
      <w:r>
        <w:t xml:space="preserve"> </w:t>
      </w:r>
      <w:r>
        <w:t xml:space="preserve">“cobri por uma semana”</w:t>
      </w:r>
      <w:r>
        <w:t xml:space="preserve"> </w:t>
      </w:r>
      <w:r>
        <w:t xml:space="preserve">e</w:t>
      </w:r>
      <w:r>
        <w:t xml:space="preserve"> </w:t>
      </w:r>
      <w:r>
        <w:t xml:space="preserve">“aparentemente esse é o meu papel agora”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Estabeleça que qualquer responsabilidade temporária DEVE ter prazo definido na atribuição, ser documentada, revisada antes da expiração e formalizada ou encerrada.</w:t>
      </w:r>
    </w:p>
    <w:p>
      <w:pPr>
        <w:pStyle w:val="FirstParagraph"/>
      </w:pPr>
      <w:r>
        <w:t xml:space="preserve">Quando uma tarefa ou responsabilidade for atribuída temporariamente, ela DEVE ser: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&lt;Explicitamente limitada no tempo desde o início (data final específica ou condição de conclusão).&gt;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&lt;Documentada como temporária no momento da atribuição.&gt;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&lt;Revisada antes da data final; convertida em papel formal ou encerrada.&gt;</w:t>
      </w:r>
    </w:p>
    <w:p>
      <w:pPr>
        <w:pStyle w:val="FirstParagraph"/>
      </w:pPr>
      <w:r>
        <w:rPr>
          <w:i/>
          <w:iCs/>
        </w:rPr>
        <w:t xml:space="preserve">&lt;Duração máxima de qualquer responsabilidade temporária antes que precise ser formalmente atribuída ou encerrada — por exemplo, 90 dias.&gt;</w:t>
      </w:r>
      <w:r>
        <w:t xml:space="preserve"> </w:t>
      </w:r>
      <w:r>
        <w:t xml:space="preserve">Se uma responsabilidade temporária não tiver responsável após sua data final, ela expira; não é transferida implicitamente.</w:t>
      </w:r>
    </w:p>
    <w:p>
      <w:r>
        <w:pict>
          <v:rect style="width:0;height:1.5pt" o:hralign="center" o:hrstd="t" o:hr="t"/>
        </w:pict>
      </w:r>
    </w:p>
    <w:bookmarkEnd w:id="21"/>
    <w:bookmarkStart w:id="22" w:name="interfaces-entre-papéis-e-domínios"/>
    <w:p>
      <w:pPr>
        <w:pStyle w:val="Heading2"/>
      </w:pPr>
      <w:r>
        <w:t xml:space="preserve">Interfaces entre Papéis e Domínios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7.6.3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7.3.4</w:t>
        </w:r>
      </w:hyperlink>
    </w:p>
    <w:p>
      <w:pPr>
        <w:pStyle w:val="BlockText"/>
      </w:pPr>
      <w:r>
        <w:rPr>
          <w:b/>
          <w:bCs/>
        </w:rPr>
        <w:t xml:space="preserve">Justificativa — Por que mapear as transições explicitamente</w:t>
      </w:r>
    </w:p>
    <w:p>
      <w:pPr>
        <w:pStyle w:val="BlockText"/>
      </w:pPr>
      <w:r>
        <w:t xml:space="preserve">A maioria das falhas operacionais não acontece dentro de um papel, mas entre papéis — nas fronteiras onde o trabalho passa de um responsável para outro. Nomear as transições transforma dependências invisíveis em revisáveis e evita falhas do tipo</w:t>
      </w:r>
      <w:r>
        <w:t xml:space="preserve"> </w:t>
      </w:r>
      <w:r>
        <w:t xml:space="preserve">“achei que você tivesse cuidado disso”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Para cada par de papéis que passa trabalho entre si, nomeie a transição e o tipo de trabalho transferido.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Para</w:t>
            </w:r>
          </w:p>
        </w:tc>
        <w:tc>
          <w:tcPr/>
          <w:p>
            <w:pPr>
              <w:pStyle w:val="Compact"/>
            </w:pPr>
            <w:r>
              <w:t xml:space="preserve">Transição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 que é entregue&gt;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bookmarkEnd w:id="22"/>
    <w:bookmarkStart w:id="23" w:name="limites-de-carga-de-trabalho"/>
    <w:p>
      <w:pPr>
        <w:pStyle w:val="Heading2"/>
      </w:pPr>
      <w:r>
        <w:t xml:space="preserve">Limites de Carga de Trabalho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7.4.1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7.4.2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7.4.3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7.7.3</w:t>
        </w:r>
      </w:hyperlink>
    </w:p>
    <w:p>
      <w:pPr>
        <w:pStyle w:val="BlockText"/>
      </w:pPr>
      <w:r>
        <w:rPr>
          <w:b/>
          <w:bCs/>
        </w:rPr>
        <w:t xml:space="preserve">Justificativa — Por que tornar os limites de carga explícitos</w:t>
      </w:r>
    </w:p>
    <w:p>
      <w:pPr>
        <w:pStyle w:val="BlockText"/>
      </w:pPr>
      <w:r>
        <w:t xml:space="preserve">Carga de coordenação sem limites é o modo padrão de falha de comunidades voluntárias — ela silenciosamente esgota as pessoas mais comprometidas até que elas saiam. Limites explícitos e revisáveis fazem da capacidade uma preocupação compartilhada em vez de um fardo privado.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Defina limites para carga de reuniões, carga de papéis, expectativas de tempo de resposta e o caminho para renegociar responsabilidades.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Carga de reuniões:</w:t>
      </w:r>
      <w:r>
        <w:t xml:space="preserve"> </w:t>
      </w:r>
      <w:r>
        <w:rPr>
          <w:i/>
          <w:iCs/>
        </w:rPr>
        <w:t xml:space="preserve">&lt;cadência das reuniões recorrentes e duração máxima; regras para reuniões extraordinárias.&gt;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Carga de papéis:</w:t>
      </w:r>
      <w:r>
        <w:t xml:space="preserve"> </w:t>
      </w:r>
      <w:r>
        <w:rPr>
          <w:i/>
          <w:iCs/>
        </w:rPr>
        <w:t xml:space="preserve">&lt;limite, se houver; regra para sinalizar sobrecarga; janela de resolução.&gt;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Expectativas de tempo de resposta:</w:t>
      </w:r>
      <w:r>
        <w:t xml:space="preserve"> </w:t>
      </w:r>
      <w:r>
        <w:rPr>
          <w:i/>
          <w:iCs/>
        </w:rPr>
        <w:t xml:space="preserve">&lt;assíncrono não urgente; operacional urgente; crítico para a segurança.&gt;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Renegociação e alívio:</w:t>
      </w:r>
      <w:r>
        <w:t xml:space="preserve"> </w:t>
      </w:r>
      <w:r>
        <w:rPr>
          <w:i/>
          <w:iCs/>
        </w:rPr>
        <w:t xml:space="preserve">&lt;processo para redistribuir responsabilidades; janela de resolução.&gt;</w:t>
      </w:r>
    </w:p>
    <w:bookmarkEnd w:id="23"/>
    <w:bookmarkStart w:id="24" w:name="continuidade-operacional"/>
    <w:p>
      <w:pPr>
        <w:pStyle w:val="Heading2"/>
      </w:pPr>
      <w:r>
        <w:t xml:space="preserve">Continuidade Operacional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7.5.1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7.5.2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7.5.3</w:t>
        </w:r>
      </w:hyperlink>
    </w:p>
    <w:p>
      <w:pPr>
        <w:pStyle w:val="BlockText"/>
      </w:pPr>
      <w:r>
        <w:rPr>
          <w:b/>
          <w:bCs/>
        </w:rPr>
        <w:t xml:space="preserve">Justificativa — Por que planejar a continuidade agora</w:t>
      </w:r>
    </w:p>
    <w:p>
      <w:pPr>
        <w:pStyle w:val="BlockText"/>
      </w:pPr>
      <w:r>
        <w:t xml:space="preserve">Uma comunidade que depende de uma pessoa insubstituível está a uma doença, um conflito ou uma saída do colapso. Nomear os pontos únicos de falha — honestamente — e incorporar a transição em cada papel é o que mantém a comunidade sobrevivendo aos seus fundadores.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Nomeie os atuais pontos únicos de falha honestamente. Estabeleça a exigência de transição para cada papel e a cadência de revisão da continuidade.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Estado atual:</w:t>
      </w:r>
      <w:r>
        <w:t xml:space="preserve"> </w:t>
      </w:r>
      <w:r>
        <w:rPr>
          <w:i/>
          <w:iCs/>
        </w:rPr>
        <w:t xml:space="preserve">&lt;lista honesta de pontos únicos de falha; plano de recrutamento para reduzir a concentração.&gt;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Mecanismos de transição:</w:t>
      </w:r>
      <w:r>
        <w:t xml:space="preserve"> </w:t>
      </w:r>
      <w:r>
        <w:rPr>
          <w:i/>
          <w:iCs/>
        </w:rPr>
        <w:t xml:space="preserve">&lt;consulte as exigências de transição por papel no Registro de Papéis; a transição DEVE ser concluída antes que um papel seja desocupado.&gt;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Cadência de revisão da continuidade:</w:t>
      </w:r>
      <w:r>
        <w:t xml:space="preserve"> </w:t>
      </w:r>
      <w:r>
        <w:rPr>
          <w:i/>
          <w:iCs/>
        </w:rPr>
        <w:t xml:space="preserve">&lt;trimestral; ad hoc em caso de mudança de papel.&gt;</w:t>
      </w:r>
    </w:p>
    <w:bookmarkEnd w:id="24"/>
    <w:bookmarkStart w:id="25" w:name="Xf28970e2eff1434633c1efa397e1c87e5f7f562"/>
    <w:p>
      <w:pPr>
        <w:pStyle w:val="Heading2"/>
      </w:pPr>
      <w:r>
        <w:t xml:space="preserve">Fluxo de Informação e Antibloqueio de Acesso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7.7.4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7.3.2</w:t>
        </w:r>
      </w:hyperlink>
    </w:p>
    <w:p>
      <w:pPr>
        <w:pStyle w:val="BlockText"/>
      </w:pPr>
      <w:r>
        <w:rPr>
          <w:b/>
          <w:bCs/>
        </w:rPr>
        <w:t xml:space="preserve">Justificativa — Por que tratar o acesso à informação como uma questão de governança</w:t>
      </w:r>
    </w:p>
    <w:p>
      <w:pPr>
        <w:pStyle w:val="BlockText"/>
      </w:pPr>
      <w:r>
        <w:t xml:space="preserve">Quem controla o acesso à informação controla a comunidade, querendo ou não. Tornar as regras de acesso explícitas — e proibir pontos únicos de acesso — é o que impede que guardiões informais acumulem o tipo de poder que o sistema de governança deveria conter.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Estabeleça quais registros são abertos a todos os Membros Plenos, a janela de resposta para solicitações de informação e a regra contra pontos únicos de acesso a informações relevantes para a governança.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&lt;Decisões de governança acessíveis a todos os Membros Plenos.&gt;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&lt;Notas de reuniões publicadas em até X horas.&gt;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&lt;Estado de adesão e atribuições de papéis acessíveis.&gt;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&lt;Registros de contribuições acessíveis.&gt;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&lt;Janela de resposta para solicitações de informação.&gt;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&lt;Negar acesso a informações às quais os membros têm direito é um gatilho de responsabilização sob a Camada 4.&gt;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&lt;Nenhum papel ou indivíduo PODE ser o único ponto de acesso a informações requeridas por outros responsáveis por papéis.&gt;</w:t>
      </w:r>
    </w:p>
    <w:p>
      <w:r>
        <w:pict>
          <v:rect style="width:0;height:1.5pt" o:hralign="center" o:hrstd="t" o:hr="t"/>
        </w:pict>
      </w:r>
    </w:p>
    <w:bookmarkEnd w:id="25"/>
    <w:bookmarkStart w:id="26" w:name="X24c39b4f76cbc70d70a5d57b74367a3eef38bca"/>
    <w:p>
      <w:pPr>
        <w:pStyle w:val="Heading2"/>
      </w:pPr>
      <w:r>
        <w:t xml:space="preserve">Localização da Documentação e Procedimentos de Atualização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7.3.3</w:t>
        </w:r>
      </w:hyperlink>
    </w:p>
    <w:p>
      <w:pPr>
        <w:pStyle w:val="BlockText"/>
      </w:pPr>
      <w:r>
        <w:rPr>
          <w:b/>
          <w:bCs/>
        </w:rPr>
        <w:t xml:space="preserve">Justificativa — Por que nomear onde cada documento vive</w:t>
      </w:r>
    </w:p>
    <w:p>
      <w:pPr>
        <w:pStyle w:val="BlockText"/>
      </w:pPr>
      <w:r>
        <w:t xml:space="preserve">Se ninguém consegue dizer onde mora a versão canônica de algo, não há versão canônica. Nomear a localização, a pessoa responsável e a cadência de revisão para cada tipo de documento é o que torna a memória da comunidade auditável em vez de folclórica.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Para cada tipo de documento, nomeie a localização canônica, a pessoa responsável e a cadência de revisão.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documento</w:t>
            </w:r>
          </w:p>
        </w:tc>
        <w:tc>
          <w:tcPr/>
          <w:p>
            <w:pPr>
              <w:pStyle w:val="Compac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Cadência de revisão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&lt;localização&gt;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&lt;responsável&gt;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&lt;cadência&gt;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&lt;localização&gt;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&lt;responsável&gt;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&lt;cadência&gt;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&lt;Notas de reuniões&gt;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&lt;localização&gt;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&lt;responsável&gt;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&lt;cadência&gt;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&lt;Propostas de governança&gt;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&lt;localização&gt;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&lt;responsável&gt;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&lt;cadência&gt;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&lt;Registros de contribuições&gt;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&lt;localização&gt;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&lt;responsável&gt;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&lt;cadência&gt;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Adotado em: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Registro da decisão:</w:t>
      </w:r>
      <w:r>
        <w:t xml:space="preserve"> </w:t>
      </w:r>
      <w:r>
        <w:t xml:space="preserve">&lt;link para o registro da decisão&gt;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5-operations-coordination#71-roles-and-responsibilities" TargetMode="External" /><Relationship Type="http://schemas.openxmlformats.org/officeDocument/2006/relationships/hyperlink" Id="rId15" Target="https://rcos.ecohubs.community/pt-br/articles/rcos-core/v0-1/layer-5-operations-coordination#73-documentation-and-information-flow" TargetMode="External" /><Relationship Type="http://schemas.openxmlformats.org/officeDocument/2006/relationships/hyperlink" Id="rId16" Target="https://rcos.ecohubs.community/pt-br/articles/rcos-core/v0-1/layer-5-operations-coordination#74-workload-and-capacity-boundaries" TargetMode="External" /><Relationship Type="http://schemas.openxmlformats.org/officeDocument/2006/relationships/hyperlink" Id="rId17" Target="https://rcos.ecohubs.community/pt-br/articles/rcos-core/v0-1/layer-5-operations-coordination#75-operational-continuity" TargetMode="External" /><Relationship Type="http://schemas.openxmlformats.org/officeDocument/2006/relationships/hyperlink" Id="rId18" Target="https://rcos.ecohubs.community/pt-br/articles/rcos-core/v0-1/layer-5-operations-coordination#76-artifacts" TargetMode="External" /><Relationship Type="http://schemas.openxmlformats.org/officeDocument/2006/relationships/hyperlink" Id="rId19" Target="https://rcos.ecohubs.community/pt-br/articles/rcos-core/v0-1/layer-5-operations-coordination#77-layer-invarian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5/operations-man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5-operations-coordination#71-roles-and-responsibilities" TargetMode="External" /><Relationship Type="http://schemas.openxmlformats.org/officeDocument/2006/relationships/hyperlink" Id="rId15" Target="https://rcos.ecohubs.community/pt-br/articles/rcos-core/v0-1/layer-5-operations-coordination#73-documentation-and-information-flow" TargetMode="External" /><Relationship Type="http://schemas.openxmlformats.org/officeDocument/2006/relationships/hyperlink" Id="rId16" Target="https://rcos.ecohubs.community/pt-br/articles/rcos-core/v0-1/layer-5-operations-coordination#74-workload-and-capacity-boundaries" TargetMode="External" /><Relationship Type="http://schemas.openxmlformats.org/officeDocument/2006/relationships/hyperlink" Id="rId17" Target="https://rcos.ecohubs.community/pt-br/articles/rcos-core/v0-1/layer-5-operations-coordination#75-operational-continuity" TargetMode="External" /><Relationship Type="http://schemas.openxmlformats.org/officeDocument/2006/relationships/hyperlink" Id="rId18" Target="https://rcos.ecohubs.community/pt-br/articles/rcos-core/v0-1/layer-5-operations-coordination#76-artifacts" TargetMode="External" /><Relationship Type="http://schemas.openxmlformats.org/officeDocument/2006/relationships/hyperlink" Id="rId19" Target="https://rcos.ecohubs.community/pt-br/articles/rcos-core/v0-1/layer-5-operations-coordination#77-layer-invarian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5/operations-man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2026-06-26T01:38:55Z</dcterms:created>
  <dcterms:modified xsi:type="dcterms:W3CDTF">2026-06-26T01:38:55Z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Manual de Operações</vt:lpwstr>
  </property>
</Properties>
</file>