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Regenerative Community Operating System</w:t>
      </w:r>
    </w:p>
    <w:bookmarkStart w:id="18" w:name="authority-registry"/>
    <w:p>
      <w:pPr>
        <w:pStyle w:val="Heading1"/>
      </w:pPr>
      <w:r>
        <w:t xml:space="preserve">Authority Registry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Generated:</w:t>
      </w:r>
      <w:r>
        <w:t xml:space="preserve"> </w:t>
      </w:r>
      <w:r>
        <w:t xml:space="preserve">2026-04-28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(latest version):</w:t>
      </w:r>
      <w:r>
        <w:t xml:space="preserve"> </w:t>
      </w:r>
      <w:hyperlink r:id="rId12">
        <w:r>
          <w:rPr>
            <w:rStyle w:val="Hyperlink"/>
          </w:rPr>
          <w:t xml:space="preserve">https://blueprint.ecohubs.community/articles/rcos-templates/layer-2/authority-registry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All RCOS templates:</w:t>
      </w:r>
      <w:r>
        <w:t xml:space="preserve"> </w:t>
      </w:r>
      <w:hyperlink r:id="rId13">
        <w:r>
          <w:rPr>
            <w:rStyle w:val="Hyperlink"/>
          </w:rPr>
          <w:t xml:space="preserve">https://blueprint.ecohubs.community/articles/rcos-templates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Layer:</w:t>
      </w:r>
      <w:r>
        <w:t xml:space="preserve"> </w:t>
      </w:r>
      <w:r>
        <w:t xml:space="preserve">2 — Governance &amp; Decision Logic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Template — adapt for your community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RCOS reference:</w:t>
      </w:r>
      <w:r>
        <w:t xml:space="preserve"> </w:t>
      </w:r>
      <w:hyperlink r:id="rId14">
        <w:r>
          <w:rPr>
            <w:rStyle w:val="Hyperlink"/>
          </w:rPr>
          <w:t xml:space="preserve">§4.3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§4.7</w:t>
        </w:r>
      </w:hyperlink>
    </w:p>
    <w:p>
      <w:pPr>
        <w:pStyle w:val="BlockText"/>
      </w:pPr>
      <w:r>
        <w:t xml:space="preserve">Lists all roles, circles, or bodies that hold decision-making authority, along with their explicit scope, limits, and term.</w:t>
      </w:r>
    </w:p>
    <w:p>
      <w:r>
        <w:pict>
          <v:rect style="width:0;height:1.5pt" o:hralign="center" o:hrstd="t" o:hr="t"/>
        </w:pict>
      </w:r>
    </w:p>
    <w:bookmarkStart w:id="16" w:name="registered-authorities"/>
    <w:p>
      <w:pPr>
        <w:pStyle w:val="Heading2"/>
      </w:pPr>
      <w:r>
        <w:t xml:space="preserve">Registered Authorities</w:t>
      </w:r>
    </w:p>
    <w:p>
      <w:pPr>
        <w:pStyle w:val="FirstParagraph"/>
      </w:pPr>
      <w:r>
        <w:rPr>
          <w:i/>
          <w:iCs/>
        </w:rPr>
        <w:t xml:space="preserve">RCOS clauses: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4.3.5</w:t>
        </w:r>
      </w:hyperlink>
    </w:p>
    <w:p>
      <w:pPr>
        <w:pStyle w:val="BlockText"/>
      </w:pPr>
      <w:r>
        <w:rPr>
          <w:b/>
          <w:bCs/>
        </w:rPr>
        <w:t xml:space="preserve">Rationale — Why write every authority down</w:t>
      </w:r>
    </w:p>
    <w:p>
      <w:pPr>
        <w:pStyle w:val="BlockText"/>
      </w:pPr>
      <w:r>
        <w:t xml:space="preserve">Authority that is not explicitly registered gets filled in by default — by whoever has been around longest, speaks loudest, or controls the keys. A single registry that names every role, bounds its scope, caps its limits, and ties its basis to a delegation act makes unauthorized action detectable and prevents authority from being derived from charisma, seniority, or ownership.</w:t>
      </w:r>
    </w:p>
    <w:p>
      <w:pPr>
        <w:pStyle w:val="BlockText"/>
      </w:pPr>
      <w:r>
        <w:rPr>
          <w:b/>
          <w:bCs/>
        </w:rPr>
        <w:t xml:space="preserve">Instructions — How to fill this in</w:t>
      </w:r>
    </w:p>
    <w:p>
      <w:pPr>
        <w:pStyle w:val="BlockText"/>
      </w:pPr>
      <w:r>
        <w:t xml:space="preserve">For each role, body, or circle that holds authority, list the scope of authority, hard limits, term/duration, and the basis (membership state, delegation act, etc.). The collective body of Full Members is itself an authority and belongs in this table.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 / Body</w:t>
            </w:r>
          </w:p>
        </w:tc>
        <w:tc>
          <w:tcPr/>
          <w:p>
            <w:pPr>
              <w:pStyle w:val="Compact"/>
            </w:pPr>
            <w:r>
              <w:t xml:space="preserve">Scope of authority</w:t>
            </w:r>
          </w:p>
        </w:tc>
        <w:tc>
          <w:tcPr/>
          <w:p>
            <w:pPr>
              <w:pStyle w:val="Compact"/>
            </w:pPr>
            <w: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Term / Duration</w:t>
            </w:r>
          </w:p>
        </w:tc>
        <w:tc>
          <w:tcPr/>
          <w:p>
            <w:pPr>
              <w:pStyle w:val="Compact"/>
            </w:pPr>
            <w:r>
              <w:t xml:space="preserve">Basis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Full Members (collective)&gt;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cannot override invariants; cannot act outside Decision Matrix&gt;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membership state&gt;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Membership Admin&gt;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&lt;basis — delegated by Full Members&gt;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&lt;e.g. Finance Steward&gt;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&lt;limits — spending cap&gt;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&lt;…&gt;</w:t>
            </w:r>
          </w:p>
        </w:tc>
      </w:tr>
    </w:tbl>
    <w:p>
      <w:pPr>
        <w:pStyle w:val="BlockText"/>
      </w:pPr>
      <w:r>
        <w:rPr>
          <w:b/>
          <w:bCs/>
        </w:rPr>
        <w:t xml:space="preserve">Conflict-of-interest recusal:</w:t>
      </w:r>
      <w:r>
        <w:t xml:space="preserve"> </w:t>
      </w:r>
      <w:r>
        <w:t xml:space="preserve">A role holder may not exercise their delegated authority in any decision where they have a direct personal interest. In such cases, the decision is escalated through the governance process.</w:t>
      </w:r>
    </w:p>
    <w:p>
      <w:pPr>
        <w:pStyle w:val="BlockText"/>
      </w:pPr>
      <w:r>
        <w:t xml:space="preserve">Authority must not be derived from charisma, seniority, ownership, or informal influence.</w:t>
      </w:r>
      <w:r>
        <w:t xml:space="preserve"> </w:t>
      </w:r>
      <w:r>
        <w:t xml:space="preserve">Temporary or emergency authority must be explicitly defined, time-bounded, and subject to review.</w:t>
      </w:r>
    </w:p>
    <w:p>
      <w:r>
        <w:pict>
          <v:rect style="width:0;height:1.5pt" o:hralign="center" o:hrstd="t" o:hr="t"/>
        </w:pict>
      </w:r>
    </w:p>
    <w:bookmarkEnd w:id="16"/>
    <w:bookmarkStart w:id="17" w:name="ratification-record"/>
    <w:p>
      <w:pPr>
        <w:pStyle w:val="Heading2"/>
      </w:pPr>
      <w:r>
        <w:t xml:space="preserve">Ratification Record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Adopted: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type:</w:t>
      </w:r>
      <w:r>
        <w:t xml:space="preserve"> </w:t>
      </w:r>
      <w:r>
        <w:t xml:space="preserve">Constitutional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Version:</w:t>
      </w:r>
      <w:r>
        <w:t xml:space="preserve"> 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Decision record:</w:t>
      </w:r>
      <w:r>
        <w:t xml:space="preserve"> 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blueprint.ecohubs.community/articles/rcos-core/v0-1/layer-2-governance-decision-logic#43-authority-boundaries" TargetMode="External" /><Relationship Type="http://schemas.openxmlformats.org/officeDocument/2006/relationships/hyperlink" Id="rId15" Target="https://blueprint.ecohubs.community/articles/rcos-core/v0-1/layer-2-governance-decision-logic#47-artifacts" TargetMode="External" /><Relationship Type="http://schemas.openxmlformats.org/officeDocument/2006/relationships/hyperlink" Id="rId13" Target="https://blueprint.ecohubs.community/articles/rcos-templates" TargetMode="External" /><Relationship Type="http://schemas.openxmlformats.org/officeDocument/2006/relationships/hyperlink" Id="rId12" Target="https://blueprint.ecohubs.community/articles/rcos-templates/layer-2/authority-regist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2026-04-28T04:02:42Z</dcterms:created>
  <dcterms:modified xsi:type="dcterms:W3CDTF">2026-04-28T04:02:42Z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Authority Registry</vt:lpwstr>
  </property>
</Properties>
</file>