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0" w:name="registro-de-estados-de-membresía"/>
    <w:p>
      <w:pPr>
        <w:pStyle w:val="Heading1"/>
      </w:pPr>
      <w:r>
        <w:t xml:space="preserve">Registro de Estados de Membresía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https://rcos.ecohubs.community/es/articles/rcos-templates/layer-1/membership-state-registry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1 — Sistema de Membresía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§3.1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6" w:name="estados-de-membresía-definidos"/>
    <w:p>
      <w:pPr>
        <w:pStyle w:val="Heading2"/>
      </w:pPr>
      <w:r>
        <w:t xml:space="preserve">Estados de Membresía Definidos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3.1.5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una única tabla de estados</w:t>
      </w:r>
      <w:r>
        <w:t xml:space="preserve"> </w:t>
      </w:r>
      <w:r>
        <w:t xml:space="preserve">&gt;</w:t>
      </w:r>
      <w:r>
        <w:t xml:space="preserve"> </w:t>
      </w:r>
      <w:r>
        <w:t xml:space="preserve">&gt; Los derechos y obligaciones dispersos en distintos documentos terminan divergiendo. Reunir cada estado, sus derechos, sus obligaciones y sus transiciones en una sola tabla hace que el sistema de membresía sea auditable de un vistazo — puedes ver cada puerta de entrada y salida de la comunidad, y lo que cada una otorga. Si dos documentos alguna vez se contradicen, este registro es el que prevalece.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cada estado de membresía que tu comunidad reconoce (p. ej., Solicitante, Miembro en Prueba, Miembro Pleno, Miembro Saliente). Para cada uno, enumera derechos, obligaciones, condición de entrada y condición de salida. Mantén los estados mutuamente excluyentes — ninguna persona puede tener dos estados simultáneamente.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Derechos</w:t>
            </w:r>
          </w:p>
        </w:tc>
        <w:tc>
          <w:tcPr/>
          <w:p>
            <w:pPr>
              <w:pStyle w:val="Compact"/>
            </w:pPr>
            <w:r>
              <w:t xml:space="preserve">Obligaciones</w:t>
            </w:r>
          </w:p>
        </w:tc>
        <w:tc>
          <w:tcPr/>
          <w:p>
            <w:pPr>
              <w:pStyle w:val="Compact"/>
            </w:pPr>
            <w:r>
              <w:t xml:space="preserve">Condición de entrada</w:t>
            </w:r>
          </w:p>
        </w:tc>
        <w:tc>
          <w:tcPr/>
          <w:p>
            <w:pPr>
              <w:pStyle w:val="Compact"/>
            </w:pPr>
            <w:r>
              <w:t xml:space="preserve">Condición de 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1, p. ej. Solicitante&gt;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&lt;derechos&gt;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&lt;obligaciones&gt;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&lt;salida&gt;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2, p. ej. Miembro en Prueba&gt;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&lt;derechos&gt;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&lt;obligaciones&gt;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&lt;salida&gt;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3, p. ej. Miembro Pleno&gt;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&lt;derechos&gt;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&lt;obligaciones&gt;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&lt;salida&gt;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&lt;Estado 4, p. ej. Miembro Saliente&gt;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&lt;derechos&gt;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&lt;obligaciones&gt;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&lt;entrada&gt;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&lt;salida&gt;</w:t>
            </w:r>
          </w:p>
        </w:tc>
      </w:tr>
    </w:tbl>
    <w:p>
      <w:pPr>
        <w:pStyle w:val="BodyText"/>
      </w:pPr>
      <w:r>
        <w:t xml:space="preserve">&gt; Ninguna persona puede tener múltiples estados de membresía simultáneamente.</w:t>
      </w:r>
      <w:r>
        <w:t xml:space="preserve"> </w:t>
      </w:r>
      <w:r>
        <w:t xml:space="preserve">&gt; No se pueden asumir derechos ni obligaciones fuera del estado de membresía actual de la persona.</w:t>
      </w:r>
    </w:p>
    <w:bookmarkEnd w:id="16"/>
    <w:bookmarkStart w:id="17" w:name="notas-técnicas"/>
    <w:p>
      <w:pPr>
        <w:pStyle w:val="Heading2"/>
      </w:pPr>
      <w:r>
        <w:t xml:space="preserve">Notas Técnicas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conservar datos después de la salida</w:t>
      </w:r>
      <w:r>
        <w:t xml:space="preserve"> </w:t>
      </w:r>
      <w:r>
        <w:t xml:space="preserve">&gt;</w:t>
      </w:r>
      <w:r>
        <w:t xml:space="preserve"> </w:t>
      </w:r>
      <w:r>
        <w:t xml:space="preserve">&gt; La historia de la comunidad pertenece a la comunidad, no a ninguna cuenta individual. Conservar los registros de contribución después de la salida protege la integridad de las pistas de auditoría, el historial de gobernanza y la contabilidad de reconocimientos — mientras que revocar el acceso y eliminar a la persona de los listados activos respeta la finalidad de su partida.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Describe qué registros se conservan después de la salida, dónde se gestionan operativamente las asignaciones de estado y cómo interactúa la revocación de acceso con las capacidades de la plataforma.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&lt;Historial de contribuciones y gobernanza retenido después de la salida; describe la política de retención.&gt;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&lt;Los miembros salientes se eliminan de los listados activos; describe la revocación de acceso por plataforma.&gt;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&lt;Ubicación operativa de las asignaciones de estado — ver</w:t>
      </w:r>
      <w:r>
        <w:rPr>
          <w:i/>
          <w:iCs/>
        </w:rPr>
        <w:t xml:space="preserve"> </w:t>
      </w:r>
      <w:r>
        <w:rPr>
          <w:i/>
          <w:iCs/>
        </w:rPr>
        <w:t xml:space="preserve">“Lista Actual de Miembros”</w:t>
      </w:r>
      <w:r>
        <w:rPr>
          <w:i/>
          <w:iCs/>
        </w:rPr>
        <w:t xml:space="preserve"> </w:t>
      </w:r>
      <w:r>
        <w:rPr>
          <w:i/>
          <w:iCs/>
        </w:rPr>
        <w:t xml:space="preserve">más abajo.&gt;</w:t>
      </w:r>
    </w:p>
    <w:bookmarkEnd w:id="17"/>
    <w:bookmarkStart w:id="18" w:name="lista-actual-de-miembros"/>
    <w:p>
      <w:pPr>
        <w:pStyle w:val="Heading2"/>
      </w:pPr>
      <w:r>
        <w:t xml:space="preserve">Lista Actual de Miembros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separar la definición de la lista</w:t>
      </w:r>
      <w:r>
        <w:t xml:space="preserve"> </w:t>
      </w:r>
      <w:r>
        <w:t xml:space="preserve">&gt;</w:t>
      </w:r>
      <w:r>
        <w:t xml:space="preserve"> </w:t>
      </w:r>
      <w:r>
        <w:t xml:space="preserve">&gt; Este documento define lo que significan los estados; el registro vivo rastrea quién está en qué estado hoy. Mantenerlos separados significa que las definiciones son estables y gobernables mientras que las asignaciones se mantienen actualizadas — y nadie tiene que modificar un artefacto ratificado cada vez que un miembro se incorpora o se va.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Enlaza al sistema operativo o documento donde se rastrean las asignaciones actuales de miembro a estado. Este artefacto no debería tener que modificarse cada vez que un miembro se incorpora o se va.</w:t>
      </w:r>
    </w:p>
    <w:p>
      <w:pPr>
        <w:pStyle w:val="BodyText"/>
      </w:pPr>
      <w:r>
        <w:t xml:space="preserve">&gt; La lista viva de miembros se mantiene en</w:t>
      </w:r>
      <w:r>
        <w:t xml:space="preserve"> </w:t>
      </w:r>
      <w:r>
        <w:rPr>
          <w:i/>
          <w:iCs/>
        </w:rPr>
        <w:t xml:space="preserve">&lt;sistema / ubicación&gt;</w:t>
      </w:r>
      <w:r>
        <w:t xml:space="preserve">. Este documento define los estados; la herramienta de registro contiene las asignaciones actuales.</w:t>
      </w:r>
    </w:p>
    <w:p>
      <w:pPr>
        <w:pStyle w:val="BodyText"/>
      </w:pPr>
      <w:r>
        <w:rPr>
          <w:i/>
          <w:iCs/>
        </w:rPr>
        <w:t xml:space="preserve">&lt;Enlace o ubicación del directorio vivo de miembros.&gt;</w:t>
      </w:r>
    </w:p>
    <w:p>
      <w:r>
        <w:pict>
          <v:rect style="width:0;height:1.5pt" o:hralign="center" o:hrstd="t" o:hr="t"/>
        </w:pict>
      </w:r>
    </w:p>
    <w:bookmarkEnd w:id="18"/>
    <w:bookmarkStart w:id="19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1-membership-system#31-membership-states" TargetMode="External" /><Relationship Type="http://schemas.openxmlformats.org/officeDocument/2006/relationships/hyperlink" Id="rId15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state-regis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1-membership-system#31-membership-states" TargetMode="External" /><Relationship Type="http://schemas.openxmlformats.org/officeDocument/2006/relationships/hyperlink" Id="rId15" Target="https://rcos.ecohubs.community/es/articles/rcos-core/v0-1/layer-1-membership-system#38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1/membership-state-regis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2026-07-07T15:15:54Z</dcterms:created>
  <dcterms:modified xsi:type="dcterms:W3CDTF">2026-07-07T15:15:54Z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Estados de Membresía</vt:lpwstr>
  </property>
</Properties>
</file>