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24" w:name="protocolo-de-incorporación"/>
    <w:p>
      <w:pPr>
        <w:pStyle w:val="Heading1"/>
      </w:pPr>
      <w:r>
        <w:t xml:space="preserve">Protocolo de Incorporación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https://rcos.ecohubs.community/es/articles/rcos-templates/layer-1/onboarding-protocol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1 — Sistema de Membresía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§3.2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§3.3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7" w:name="criterios-de-admisión"/>
    <w:p>
      <w:pPr>
        <w:pStyle w:val="Heading2"/>
      </w:pPr>
      <w:r>
        <w:t xml:space="preserve">Criterios de Admisión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documentar quién puede entrar</w:t>
      </w:r>
      <w:r>
        <w:t xml:space="preserve"> </w:t>
      </w:r>
      <w:r>
        <w:t xml:space="preserve">&gt;</w:t>
      </w:r>
      <w:r>
        <w:t xml:space="preserve"> </w:t>
      </w:r>
      <w:r>
        <w:t xml:space="preserve">&gt; La admisión es el momento en que una persona desconocida queda vinculada por — y protegida por — las reglas de la comunidad. Si los criterios son informales, la decisión se reduce a quién le cae bien al solicitante en ese momento. Los criterios escritos hacen de la admisión un acto de gobernanza, no un favor social, y hacen que un rechazo sea defendible con fundamentos que la comunidad puede señalar.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las condiciones explícitas bajo las cuales un solicitante puede ser admitido. Cada criterio debería ser verificable a partir de la propia solicitud o mediante una comprobación externa.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1, p. ej. alineación con el propósito principal y las restricciones de identidad de la Capa 0.&gt;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2, p. ej. disposición a contribuir activamente en al menos una categoría reconocida.&gt;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3, p. ej. sin expulsión forzosa ni rechazo previo en los últimos X meses.&gt;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&lt;Criterio 4, p. ej. formulario de solicitud completado de buena fe — sin tergiversación.&gt;</w:t>
      </w:r>
    </w:p>
    <w:bookmarkEnd w:id="17"/>
    <w:bookmarkStart w:id="18" w:name="pasos-de-incorporación"/>
    <w:p>
      <w:pPr>
        <w:pStyle w:val="Heading2"/>
      </w:pPr>
      <w:r>
        <w:t xml:space="preserve">Pasos de Incorporación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3.2.2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hacer del proceso una secuencia fija</w:t>
      </w:r>
      <w:r>
        <w:t xml:space="preserve"> </w:t>
      </w:r>
      <w:r>
        <w:t xml:space="preserve">&gt;</w:t>
      </w:r>
      <w:r>
        <w:t xml:space="preserve"> </w:t>
      </w:r>
      <w:r>
        <w:t xml:space="preserve">&gt; El consentimiento a la gobernanza solo tiene sentido si el miembro realmente ha visto la gobernanza. Una secuencia fija — revisión, consentimiento, configuración técnica — garantiza que cada Miembro Pleno cruzó el mismo umbral en el mismo orden, de modo que nadie accede a derechos plenos sin haber conocido las restricciones que los acompañan.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Enumera los pasos ordenados que cada nuevo miembro debe completar para pasar de solicitante a Miembro Pleno. Incluye pasos explícitos de consentimiento y cualquier aprovisionamiento de herramientas o acceso requerido.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1, p. ej. revisar todos los artefactos de las Capas 0–6 y este protocolo de incorporación.&gt;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2, p. ej. consentir explícitamente el Acuerdo de Membresía y las restricciones de identidad de la Capa 0.&gt;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3, p. ej. configurar las herramientas requeridas (billetera, cuentas, identidad).&gt;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4, p. ej. unirse a los canales de comunicación exclusivos para miembros.&gt;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5, p. ej. recibir los permisos necesarios para participar en la gobernanza.&gt;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&lt;Paso 6, p. ej. finalización de la incorporación registrada — el estado de membresía cambia a Miembro Pleno.&gt;</w:t>
      </w:r>
    </w:p>
    <w:bookmarkEnd w:id="18"/>
    <w:bookmarkStart w:id="20" w:name="estado-inicial-de-membresía"/>
    <w:p>
      <w:pPr>
        <w:pStyle w:val="Heading2"/>
      </w:pPr>
      <w:r>
        <w:t xml:space="preserve">Estado Inicial de Membresía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3.1.4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asignar un estado al final de la incorporación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Entre</w:t>
      </w:r>
      <w:r>
        <w:t xml:space="preserve"> </w:t>
      </w:r>
      <w:r>
        <w:t xml:space="preserve">“solicitante aprobado”</w:t>
      </w:r>
      <w:r>
        <w:t xml:space="preserve"> </w:t>
      </w:r>
      <w:r>
        <w:t xml:space="preserve">y</w:t>
      </w:r>
      <w:r>
        <w:t xml:space="preserve"> </w:t>
      </w:r>
      <w:r>
        <w:t xml:space="preserve">“totalmente integrado”</w:t>
      </w:r>
      <w:r>
        <w:t xml:space="preserve"> </w:t>
      </w:r>
      <w:r>
        <w:t xml:space="preserve">hay una brecha real — los permisos, el acceso y las expectativas cambian. Declarar el estado exacto que un nuevo miembro tiene en cada paso elimina la ambigüedad sobre lo que puede hacer en ese momento, y evita concesiones involuntarias de derechos antes de que la incorporación esté completa.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los estados de membresía por los que transita un miembro durante la incorporación, y qué desencadena cada transición. Consulta el Registro de Estados de Membresía.</w:t>
      </w:r>
    </w:p>
    <w:p>
      <w:pPr>
        <w:pStyle w:val="Compact"/>
        <w:numPr>
          <w:ilvl w:val="0"/>
          <w:numId w:val="1005"/>
        </w:numPr>
      </w:pPr>
      <w:r>
        <w:t xml:space="preserve">Al ser aprobado:</w:t>
      </w:r>
      <w:r>
        <w:t xml:space="preserve"> </w:t>
      </w:r>
      <w:r>
        <w:rPr>
          <w:i/>
          <w:iCs/>
        </w:rPr>
        <w:t xml:space="preserve">&lt;p. ej. Miembro en Prueba.&gt;</w:t>
      </w:r>
    </w:p>
    <w:p>
      <w:pPr>
        <w:pStyle w:val="Compact"/>
        <w:numPr>
          <w:ilvl w:val="0"/>
          <w:numId w:val="1005"/>
        </w:numPr>
      </w:pPr>
      <w:r>
        <w:t xml:space="preserve">Al completar la incorporación:</w:t>
      </w:r>
      <w:r>
        <w:t xml:space="preserve"> </w:t>
      </w:r>
      <w:r>
        <w:rPr>
          <w:i/>
          <w:iCs/>
        </w:rPr>
        <w:t xml:space="preserve">&lt;p. ej. Miembro Pleno (automático al completar).&gt;</w:t>
      </w:r>
    </w:p>
    <w:bookmarkEnd w:id="20"/>
    <w:bookmarkStart w:id="21" w:name="prueba-y-evaluación"/>
    <w:p>
      <w:pPr>
        <w:pStyle w:val="Heading2"/>
      </w:pPr>
      <w:r>
        <w:t xml:space="preserve">Prueba y Evaluación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3.3.4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delimitar el periodo de prueba</w:t>
      </w:r>
      <w:r>
        <w:t xml:space="preserve"> </w:t>
      </w:r>
      <w:r>
        <w:t xml:space="preserve">&gt;</w:t>
      </w:r>
      <w:r>
        <w:t xml:space="preserve"> </w:t>
      </w:r>
      <w:r>
        <w:t xml:space="preserve">&gt; Un periodo de prueba sin límite es una membresía de segunda clase que nunca termina — todas las obligaciones, menos derechos. Fijar la duración, los criterios y el camino en caso de fallo obliga a un punto de decisión: o el nuevo miembro pasa a pleno derecho o se ejecuta una salida definida. Esto evita que el estado de prueba se convierta en un limbo permanente.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la duración, los criterios de evaluación, la decisión de transición, el periodo de gracia, el camino en caso de fallo y cualquier regla de extensión. Los derechos durante la prueba se definen en el Registro de Estados de Membresía.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Duración:</w:t>
      </w:r>
      <w:r>
        <w:t xml:space="preserve"> </w:t>
      </w:r>
      <w:r>
        <w:rPr>
          <w:i/>
          <w:iCs/>
        </w:rPr>
        <w:t xml:space="preserve">&lt;p. ej. 30 días desde la aprobación.&gt;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Criterios de evaluación:</w:t>
      </w:r>
      <w:r>
        <w:t xml:space="preserve"> </w:t>
      </w:r>
      <w:r>
        <w:rPr>
          <w:i/>
          <w:iCs/>
        </w:rPr>
        <w:t xml:space="preserve">&lt;p. ej. todos los pasos de incorporación completados y registrados.&gt;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Decisión de transición:</w:t>
      </w:r>
      <w:r>
        <w:t xml:space="preserve"> </w:t>
      </w:r>
      <w:r>
        <w:rPr>
          <w:i/>
          <w:iCs/>
        </w:rPr>
        <w:t xml:space="preserve">&lt;p. ej. automática al completar; o por votación.&gt;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Periodo de gracia:</w:t>
      </w:r>
      <w:r>
        <w:t xml:space="preserve"> </w:t>
      </w:r>
      <w:r>
        <w:rPr>
          <w:i/>
          <w:iCs/>
        </w:rPr>
        <w:t xml:space="preserve">&lt;p. ej. X días adicionales si la incorporación no se completa a tiempo.&gt;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Fallo en completar:</w:t>
      </w:r>
      <w:r>
        <w:t xml:space="preserve"> </w:t>
      </w:r>
      <w:r>
        <w:rPr>
          <w:i/>
          <w:iCs/>
        </w:rPr>
        <w:t xml:space="preserve">&lt;p. ej. proceso de salida activado automáticamente tras agotarse el periodo total.&gt;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Extensión:</w:t>
      </w:r>
      <w:r>
        <w:t xml:space="preserve"> </w:t>
      </w:r>
      <w:r>
        <w:rPr>
          <w:i/>
          <w:iCs/>
        </w:rPr>
        <w:t xml:space="preserve">&lt;p. ej. extensión única de X días bajo solicitud.&gt;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Derechos durante la prueba:</w:t>
      </w:r>
      <w:r>
        <w:t xml:space="preserve"> </w:t>
      </w:r>
      <w:r>
        <w:rPr>
          <w:i/>
          <w:iCs/>
        </w:rPr>
        <w:t xml:space="preserve">&lt;consultar el Registro de Estados de Membresía.&gt;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Bloqueo de nueva solicitud:</w:t>
      </w:r>
      <w:r>
        <w:t xml:space="preserve"> </w:t>
      </w:r>
      <w:r>
        <w:rPr>
          <w:i/>
          <w:iCs/>
        </w:rPr>
        <w:t xml:space="preserve">&lt;p. ej. los miembros que salieron por incorporación incompleta no pueden volver a solicitar durante X meses.&gt;</w:t>
      </w:r>
    </w:p>
    <w:bookmarkEnd w:id="21"/>
    <w:bookmarkStart w:id="22" w:name="registro-de-finalización"/>
    <w:p>
      <w:pPr>
        <w:pStyle w:val="Heading2"/>
      </w:pPr>
      <w:r>
        <w:t xml:space="preserve">Registro de Finalización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mantener el registro de forma permanente</w:t>
      </w:r>
      <w:r>
        <w:t xml:space="preserve"> </w:t>
      </w:r>
      <w:r>
        <w:t xml:space="preserve">&gt;</w:t>
      </w:r>
      <w:r>
        <w:t xml:space="preserve"> </w:t>
      </w:r>
      <w:r>
        <w:t xml:space="preserve">&gt; El registro de finalización es la evidencia de que un miembro consintió a una versión específica de las reglas en una fecha específica. Perderlo o editarlo haría imposible responder, meses o años después,</w:t>
      </w:r>
      <w:r>
        <w:t xml:space="preserve"> </w:t>
      </w:r>
      <w:r>
        <w:t xml:space="preserve">“¿a qué exactamente accedió?”</w:t>
      </w:r>
      <w:r>
        <w:t xml:space="preserve"> </w:t>
      </w:r>
      <w:r>
        <w:t xml:space="preserve">— que es la única pregunta que importa cuando llega una disputa.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esta sección</w:t>
      </w:r>
      <w:r>
        <w:t xml:space="preserve"> </w:t>
      </w:r>
      <w:r>
        <w:t xml:space="preserve">&gt;</w:t>
      </w:r>
      <w:r>
        <w:t xml:space="preserve"> </w:t>
      </w:r>
      <w:r>
        <w:t xml:space="preserve">&gt; Indica dónde se guarda el registro de finalización, qué captura (marca de tiempo, versiones de artefactos consentidos) y la regla de retención.</w:t>
      </w:r>
    </w:p>
    <w:p>
      <w:pPr>
        <w:pStyle w:val="BodyText"/>
      </w:pPr>
      <w:r>
        <w:rPr>
          <w:i/>
          <w:iCs/>
        </w:rPr>
        <w:t xml:space="preserve">&lt;Descripción del registro de finalización de la incorporación — dónde se almacena, qué captura y que se retiene permanentemente después de la salida.&gt;</w:t>
      </w:r>
    </w:p>
    <w:p>
      <w:r>
        <w:pict>
          <v:rect style="width:0;height:1.5pt" o:hralign="center" o:hrstd="t" o:hr="t"/>
        </w:pict>
      </w:r>
    </w:p>
    <w:bookmarkEnd w:id="22"/>
    <w:bookmarkStart w:id="23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9" Target="https://rcos.ecohubs.community/es/articles/rcos-core/v0-1/layer-1-membership-system#31-membership-states" TargetMode="External" /><Relationship Type="http://schemas.openxmlformats.org/officeDocument/2006/relationships/hyperlink" Id="rId14" Target="https://rcos.ecohubs.community/es/articles/rcos-core/v0-1/layer-1-membership-system#32-entry-and-onboarding" TargetMode="External" /><Relationship Type="http://schemas.openxmlformats.org/officeDocument/2006/relationships/hyperlink" Id="rId15" Target="https://rcos.ecohubs.community/es/articles/rcos-core/v0-1/layer-1-membership-system#33-trial-and-evaluation" TargetMode="External" /><Relationship Type="http://schemas.openxmlformats.org/officeDocument/2006/relationships/hyperlink" Id="rId16" Target="https://rcos.ecohubs.community/es/articles/rcos-core/v0-1/layer-1-membership-system#38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1/onboarding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rcos.ecohubs.community/es/articles/rcos-core/v0-1/layer-1-membership-system#31-membership-states" TargetMode="External" /><Relationship Type="http://schemas.openxmlformats.org/officeDocument/2006/relationships/hyperlink" Id="rId14" Target="https://rcos.ecohubs.community/es/articles/rcos-core/v0-1/layer-1-membership-system#32-entry-and-onboarding" TargetMode="External" /><Relationship Type="http://schemas.openxmlformats.org/officeDocument/2006/relationships/hyperlink" Id="rId15" Target="https://rcos.ecohubs.community/es/articles/rcos-core/v0-1/layer-1-membership-system#33-trial-and-evaluation" TargetMode="External" /><Relationship Type="http://schemas.openxmlformats.org/officeDocument/2006/relationships/hyperlink" Id="rId16" Target="https://rcos.ecohubs.community/es/articles/rcos-core/v0-1/layer-1-membership-system#38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1/onboarding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2026-07-07T15:15:54Z</dcterms:created>
  <dcterms:modified xsi:type="dcterms:W3CDTF">2026-07-07T15:15:54Z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Protocolo de Incorporación</vt:lpwstr>
  </property>
</Properties>
</file>