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609600" cy="609600"/>
            <wp:effectExtent b="0" l="0" r="0" t="0"/>
            <wp:docPr descr="RCOS" title="" id="10" name="Picture"/>
            <a:graphic>
              <a:graphicData uri="http://schemas.openxmlformats.org/drawingml/2006/picture">
                <pic:pic>
                  <pic:nvPicPr>
                    <pic:cNvPr descr="/Users/el_stefano/Documents/Development/svelte/regenerative-community-blueprint/scripts/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RCOS — Sistema Operativo de Comunidad Regenerativa</w:t>
      </w:r>
    </w:p>
    <w:bookmarkStart w:id="18" w:name="registro-de-autoridades"/>
    <w:p>
      <w:pPr>
        <w:pStyle w:val="Heading1"/>
      </w:pPr>
      <w:r>
        <w:t xml:space="preserve">Registro de Autoridades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Generado:</w:t>
      </w:r>
      <w:r>
        <w:t xml:space="preserve"> </w:t>
      </w:r>
      <w:r>
        <w:t xml:space="preserve">2026-07-07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Fuente (versión más reciente):</w:t>
      </w:r>
      <w:r>
        <w:t xml:space="preserve"> </w:t>
      </w:r>
      <w:hyperlink r:id="rId12">
        <w:r>
          <w:rPr>
            <w:rStyle w:val="Hyperlink"/>
          </w:rPr>
          <w:t xml:space="preserve">https://rcos.ecohubs.community/es/articles/rcos-templates/layer-2/authority-registry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Todas las plantillas RCOS:</w:t>
      </w:r>
      <w:r>
        <w:t xml:space="preserve"> </w:t>
      </w:r>
      <w:hyperlink r:id="rId13">
        <w:r>
          <w:rPr>
            <w:rStyle w:val="Hyperlink"/>
          </w:rPr>
          <w:t xml:space="preserve">https://rcos.ecohubs.community/es/articles/rcos-templates</w:t>
        </w:r>
      </w:hyperlink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Capa:</w:t>
      </w:r>
      <w:r>
        <w:t xml:space="preserve"> </w:t>
      </w:r>
      <w:r>
        <w:t xml:space="preserve">2 — Gobernanza y Lógica de Decisión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Estado:</w:t>
      </w:r>
      <w:r>
        <w:t xml:space="preserve"> </w:t>
      </w:r>
      <w:r>
        <w:t xml:space="preserve">Plantilla — adaptar para tu comunidad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Referencia RCOS:</w:t>
      </w:r>
      <w:r>
        <w:t xml:space="preserve"> </w:t>
      </w:r>
      <w:hyperlink r:id="rId14">
        <w:r>
          <w:rPr>
            <w:rStyle w:val="Hyperlink"/>
          </w:rPr>
          <w:t xml:space="preserve">§4.3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§4.7</w:t>
        </w:r>
      </w:hyperlink>
    </w:p>
    <w:p>
      <w:pPr>
        <w:pStyle w:val="FirstParagraph"/>
      </w:pPr>
      <w:r>
        <w:t xml:space="preserve">&gt; Enumera todos los roles, círculos u órganos que poseen autoridad de toma de decisiones, junto con su alcance explícito, límites y duración del mandato.</w:t>
      </w:r>
    </w:p>
    <w:p>
      <w:r>
        <w:pict>
          <v:rect style="width:0;height:1.5pt" o:hralign="center" o:hrstd="t" o:hr="t"/>
        </w:pict>
      </w:r>
    </w:p>
    <w:bookmarkStart w:id="16" w:name="autoridades-registradas"/>
    <w:p>
      <w:pPr>
        <w:pStyle w:val="Heading2"/>
      </w:pPr>
      <w:r>
        <w:t xml:space="preserve">Autoridades Registradas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4.3.1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4.3.2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4.3.3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4.3.4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4.3.5</w:t>
        </w:r>
      </w:hyperlink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Justificación — ¿Por qué documentar cada autoridad por escrito</w:t>
      </w:r>
      <w:r>
        <w:t xml:space="preserve"> </w:t>
      </w:r>
      <w:r>
        <w:t xml:space="preserve">&gt;</w:t>
      </w:r>
      <w:r>
        <w:t xml:space="preserve"> </w:t>
      </w:r>
      <w:r>
        <w:t xml:space="preserve">&gt; La autoridad que no se registra explícitamente se llena por defecto — por quien lleva más tiempo, habla más fuerte o controla las llaves. Un registro único que nombre cada rol, delimite su alcance, establezca sus límites y vincule su base a un acto de delegación hace que la acción no autorizada sea detectable e impide que la autoridad se derive del carisma, la antigüedad o la propiedad.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Instrucciones — Cómo rellenar esto</w:t>
      </w:r>
      <w:r>
        <w:t xml:space="preserve"> </w:t>
      </w:r>
      <w:r>
        <w:t xml:space="preserve">&gt;</w:t>
      </w:r>
      <w:r>
        <w:t xml:space="preserve"> </w:t>
      </w:r>
      <w:r>
        <w:t xml:space="preserve">&gt; Para cada rol, órgano o círculo que posea autoridad, enumera el alcance de autoridad, los límites estrictos, la duración del mandato y la base (estado de membresía, acto de delegación, etc.). El cuerpo colectivo de Miembros Plenos es en sí mismo una autoridad y pertenece a esta tabla.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 / Órgano</w:t>
            </w:r>
          </w:p>
        </w:tc>
        <w:tc>
          <w:tcPr/>
          <w:p>
            <w:pPr>
              <w:pStyle w:val="Compact"/>
            </w:pPr>
            <w:r>
              <w:t xml:space="preserve">Alcance de autoridad</w:t>
            </w:r>
          </w:p>
        </w:tc>
        <w:tc>
          <w:tcPr/>
          <w:p>
            <w:pPr>
              <w:pStyle w:val="Compact"/>
            </w:pPr>
            <w:r>
              <w:t xml:space="preserve">Límites</w:t>
            </w:r>
          </w:p>
        </w:tc>
        <w:tc>
          <w:tcPr/>
          <w:p>
            <w:pPr>
              <w:pStyle w:val="Compact"/>
            </w:pPr>
            <w:r>
              <w:t xml:space="preserve">Duración del mandato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&lt;p. ej. Miembros Plenos (colectivo)&gt;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&lt;alcance&gt;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&lt;límites — no puede anular invariantes; no puede actuar fuera de la Matriz de Decisiones&gt;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&lt;duración&gt;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&lt;base — estado de membresía&gt;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&lt;p. ej. Administración de Membresía&gt;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&lt;alcance&gt;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&lt;límites&gt;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&lt;duración&gt;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&lt;base — delegada por los Miembros Plenos&gt;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&lt;p. ej. Responsable de Finanzas&gt;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&lt;alcance&gt;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&lt;límites — tope de gasto&gt;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&lt;duración&gt;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&lt;base&gt;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</w:tr>
    </w:tbl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Recusación por conflicto de intereses:</w:t>
      </w:r>
      <w:r>
        <w:t xml:space="preserve"> </w:t>
      </w:r>
      <w:r>
        <w:t xml:space="preserve">Un titular de rol no PUEDE ejercer su autoridad delegada en ninguna decisión en la que tenga un interés personal directo. En tales casos, la decisión se escala a través del proceso de gobernanza.</w:t>
      </w:r>
    </w:p>
    <w:p>
      <w:pPr>
        <w:pStyle w:val="BodyText"/>
      </w:pPr>
      <w:r>
        <w:t xml:space="preserve">&gt; La autoridad NO DEBE derivarse del carisma, la antigüedad, la propiedad o la influencia informal.</w:t>
      </w:r>
      <w:r>
        <w:t xml:space="preserve"> </w:t>
      </w:r>
      <w:r>
        <w:t xml:space="preserve">&gt; La autoridad temporal o de emergencia DEBE definirse explícitamente, estar acotada en el tiempo y estar sujeta a revisión.</w:t>
      </w:r>
    </w:p>
    <w:p>
      <w:r>
        <w:pict>
          <v:rect style="width:0;height:1.5pt" o:hralign="center" o:hrstd="t" o:hr="t"/>
        </w:pict>
      </w:r>
    </w:p>
    <w:bookmarkEnd w:id="16"/>
    <w:bookmarkStart w:id="17" w:name="registro-de-ratificación"/>
    <w:p>
      <w:pPr>
        <w:pStyle w:val="Heading2"/>
      </w:pPr>
      <w:r>
        <w:t xml:space="preserve">Registro de Ratificación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Adoptado:</w:t>
      </w:r>
      <w:r>
        <w:t xml:space="preserve"> </w:t>
      </w:r>
      <w:r>
        <w:t xml:space="preserve">&lt;AAAA-MM-DD&gt;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Tipo de decisión:</w:t>
      </w:r>
      <w:r>
        <w:t xml:space="preserve"> </w:t>
      </w:r>
      <w:r>
        <w:t xml:space="preserve">Constitucional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Versión:</w:t>
      </w:r>
      <w:r>
        <w:t xml:space="preserve"> </w:t>
      </w:r>
      <w:r>
        <w:t xml:space="preserve">&lt;versión&gt;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Registro de decisión:</w:t>
      </w:r>
      <w:r>
        <w:t xml:space="preserve"> </w:t>
      </w:r>
      <w:r>
        <w:t xml:space="preserve">&lt;enlace al registro de decisión&gt;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4" Target="https://rcos.ecohubs.community/es/articles/rcos-core/v0-1/layer-2-governance-decision-logic#43-authority-boundaries" TargetMode="External" /><Relationship Type="http://schemas.openxmlformats.org/officeDocument/2006/relationships/hyperlink" Id="rId15" Target="https://rcos.ecohubs.community/es/articles/rcos-core/v0-1/layer-2-governance-decision-logic#47-artifacts" TargetMode="External" /><Relationship Type="http://schemas.openxmlformats.org/officeDocument/2006/relationships/hyperlink" Id="rId13" Target="https://rcos.ecohubs.community/es/articles/rcos-templates" TargetMode="External" /><Relationship Type="http://schemas.openxmlformats.org/officeDocument/2006/relationships/hyperlink" Id="rId12" Target="https://rcos.ecohubs.community/es/articles/rcos-templates/layer-2/authority-registr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rcos.ecohubs.community/es/articles/rcos-core/v0-1/layer-2-governance-decision-logic#43-authority-boundaries" TargetMode="External" /><Relationship Type="http://schemas.openxmlformats.org/officeDocument/2006/relationships/hyperlink" Id="rId15" Target="https://rcos.ecohubs.community/es/articles/rcos-core/v0-1/layer-2-governance-decision-logic#47-artifacts" TargetMode="External" /><Relationship Type="http://schemas.openxmlformats.org/officeDocument/2006/relationships/hyperlink" Id="rId13" Target="https://rcos.ecohubs.community/es/articles/rcos-templates" TargetMode="External" /><Relationship Type="http://schemas.openxmlformats.org/officeDocument/2006/relationships/hyperlink" Id="rId12" Target="https://rcos.ecohubs.community/es/articles/rcos-templates/layer-2/authority-registr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2026-07-07T15:15:54Z</dcterms:created>
  <dcterms:modified xsi:type="dcterms:W3CDTF">2026-07-07T15:15:54Z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Registro de Autoridades</vt:lpwstr>
  </property>
</Properties>
</file>