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odèles-rcos"/>
    <w:p>
      <w:pPr>
        <w:pStyle w:val="Heading1"/>
      </w:pPr>
      <w:r>
        <w:t xml:space="preserve">Modèles RCOS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Généré:</w:t>
      </w:r>
      <w:r>
        <w:t xml:space="preserve"> </w:t>
      </w:r>
      <w:r>
        <w:t xml:space="preserve">2026-07-07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(version la plus récente):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https://rcos.ecohubs.community/fr/articles/rcos-templates</w:t>
          </w:r>
        </w:hyperlink>
      </w:hyperlink>
    </w:p>
    <w:p>
      <w:pPr>
        <w:pStyle w:val="FirstParagraph"/>
      </w:pPr>
      <w:r>
        <w:t xml:space="preserve">Ce paquet contient tous les modèles RCOS, prêts à être copiés et adaptés à votre communauté.</w:t>
      </w:r>
    </w:p>
    <w:p>
      <w:pPr>
        <w:pStyle w:val="BodyText"/>
      </w:pPr>
      <w:r>
        <w:t xml:space="preserve">Chaque modèle inclut un bloc de justification (pourquoi la section existe) et des instructions (comment la remplir).</w:t>
      </w:r>
    </w:p>
    <w:bookmarkStart w:id="39" w:name="modèles"/>
    <w:p>
      <w:pPr>
        <w:pStyle w:val="Heading2"/>
      </w:pPr>
      <w:r>
        <w:t xml:space="preserve">Modèles</w:t>
      </w:r>
    </w:p>
    <w:bookmarkStart w:id="14" w:name="layer-0"/>
    <w:p>
      <w:pPr>
        <w:pStyle w:val="Heading3"/>
      </w:pPr>
      <w:r>
        <w:t xml:space="preserve">layer-0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Registre des contraintes d'identité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Registre des invariants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Charte de raison d'être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Déclaration de périmètre</w:t>
        </w:r>
      </w:hyperlink>
    </w:p>
    <w:bookmarkEnd w:id="14"/>
    <w:bookmarkStart w:id="19" w:name="layer-1"/>
    <w:p>
      <w:pPr>
        <w:pStyle w:val="Heading3"/>
      </w:pPr>
      <w:r>
        <w:t xml:space="preserve">layer-1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Protocole de sortie et de séparation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Accord d'adhésion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Registre des états de membre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Protocole d'intégration</w:t>
        </w:r>
      </w:hyperlink>
    </w:p>
    <w:bookmarkEnd w:id="19"/>
    <w:bookmarkStart w:id="23" w:name="layer-2"/>
    <w:p>
      <w:pPr>
        <w:pStyle w:val="Heading3"/>
      </w:pPr>
      <w:r>
        <w:t xml:space="preserve">layer-2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Registre des autorités</w:t>
        </w:r>
      </w:hyperlink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Matrice de décision</w:t>
        </w:r>
      </w:hyperlink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Protocole de gouvernance</w:t>
        </w:r>
      </w:hyperlink>
    </w:p>
    <w:bookmarkEnd w:id="23"/>
    <w:bookmarkStart w:id="26" w:name="layer-3"/>
    <w:p>
      <w:pPr>
        <w:pStyle w:val="Heading3"/>
      </w:pPr>
      <w:r>
        <w:t xml:space="preserve">layer-3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Protocole d'économie interne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Règles de trésorerie</w:t>
        </w:r>
      </w:hyperlink>
    </w:p>
    <w:bookmarkEnd w:id="26"/>
    <w:bookmarkStart w:id="29" w:name="layer-4"/>
    <w:p>
      <w:pPr>
        <w:pStyle w:val="Heading3"/>
      </w:pPr>
      <w:r>
        <w:t xml:space="preserve">layer-4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Protocole de responsabilisation</w:t>
        </w:r>
      </w:hyperlink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Échelle de résolution des conflits</w:t>
        </w:r>
      </w:hyperlink>
    </w:p>
    <w:bookmarkEnd w:id="29"/>
    <w:bookmarkStart w:id="33" w:name="layer-5"/>
    <w:p>
      <w:pPr>
        <w:pStyle w:val="Heading3"/>
      </w:pPr>
      <w:r>
        <w:t xml:space="preserve">layer-5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Modèles de réunion</w:t>
        </w:r>
      </w:hyperlink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Manuel opérationnel</w:t>
        </w:r>
      </w:hyperlink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Registre des rôles</w:t>
        </w:r>
      </w:hyperlink>
    </w:p>
    <w:bookmarkEnd w:id="33"/>
    <w:bookmarkStart w:id="38" w:name="layer-6"/>
    <w:p>
      <w:pPr>
        <w:pStyle w:val="Heading3"/>
      </w:pPr>
      <w:r>
        <w:t xml:space="preserve">layer-6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Protocole de changement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Modèle d'expérimentation</w:t>
        </w:r>
      </w:hyperlink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</w:rPr>
          <w:t xml:space="preserve">Journal d'apprentissage</w:t>
        </w:r>
      </w:hyperlink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Historique des versions</w:t>
        </w:r>
      </w:hyperlink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rcos.ecohubs.community/fr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cos.ecohubs.community/fr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2026-07-07T15:15:58Z</dcterms:created>
  <dcterms:modified xsi:type="dcterms:W3CDTF">2026-07-07T15:15:58Z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Modèles RCOS</vt:lpwstr>
  </property>
</Properties>
</file>