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https://blueprint.ecohubs.community/articles/rcos-templates/layer-6/experiment-template</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Rationale — Why require these fields</w:t>
      </w:r>
    </w:p>
    <w:p>
      <w:pPr>
        <w:pStyle w:val="BlockText"/>
      </w:pPr>
      <w:r>
        <w:t xml:space="preserve">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lockText"/>
      </w:pPr>
      <w:r>
        <w:rPr>
          <w:b/>
          <w:bCs/>
        </w:rPr>
        <w:t xml:space="preserve">Instructions — How to fill this in</w:t>
      </w:r>
    </w:p>
    <w:p>
      <w:pPr>
        <w:pStyle w:val="BlockText"/>
      </w:pPr>
      <w:r>
        <w:t xml:space="preserve">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p>
    <w:p>
      <w:pPr>
        <w:pStyle w:val="Compact"/>
        <w:numPr>
          <w:ilvl w:val="0"/>
          <w:numId w:val="1003"/>
        </w:numPr>
      </w:pPr>
      <w:r>
        <w:rPr>
          <w:b/>
          <w:bCs/>
        </w:rPr>
        <w:t xml:space="preserve">Proposer:</w:t>
      </w:r>
      <w:r>
        <w:t xml:space="preserve"> </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p>
    <w:p>
      <w:pPr>
        <w:pStyle w:val="Compact"/>
        <w:numPr>
          <w:ilvl w:val="0"/>
          <w:numId w:val="1003"/>
        </w:numPr>
      </w:pPr>
      <w:r>
        <w:rPr>
          <w:b/>
          <w:bCs/>
        </w:rPr>
        <w:t xml:space="preserve">Failure criteria:</w:t>
      </w:r>
      <w:r>
        <w:t xml:space="preserve"> </w:t>
      </w:r>
    </w:p>
    <w:p>
      <w:pPr>
        <w:pStyle w:val="Compact"/>
        <w:numPr>
          <w:ilvl w:val="0"/>
          <w:numId w:val="1003"/>
        </w:numPr>
      </w:pPr>
      <w:r>
        <w:rPr>
          <w:b/>
          <w:bCs/>
        </w:rPr>
        <w:t xml:space="preserve">Rollback conditions and process:</w:t>
      </w:r>
      <w:r>
        <w:t xml:space="preserve"> </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p>
    <w:p>
      <w:pPr>
        <w:pStyle w:val="Compact"/>
        <w:numPr>
          <w:ilvl w:val="0"/>
          <w:numId w:val="1003"/>
        </w:numPr>
      </w:pPr>
      <w:r>
        <w:rPr>
          <w:b/>
          <w:bCs/>
        </w:rPr>
        <w:t xml:space="preserve">Safety suspension:</w:t>
      </w:r>
      <w:r>
        <w:t xml:space="preserve"> </w:t>
      </w:r>
    </w:p>
    <w:bookmarkEnd w:id="16"/>
    <w:bookmarkStart w:id="17" w:name="expiry-and-renewal"/>
    <w:p>
      <w:pPr>
        <w:pStyle w:val="Heading2"/>
      </w:pPr>
      <w:r>
        <w:t xml:space="preserve">Expiry and Renewal</w:t>
      </w:r>
    </w:p>
    <w:p>
      <w:pPr>
        <w:pStyle w:val="BlockText"/>
      </w:pPr>
      <w:r>
        <w:rPr>
          <w:b/>
          <w:bCs/>
        </w:rPr>
        <w:t xml:space="preserve">Rationale — Why must experiments expire</w:t>
      </w:r>
    </w:p>
    <w:p>
      <w:pPr>
        <w:pStyle w:val="BlockText"/>
      </w:pPr>
      <w:r>
        <w:t xml:space="preserve">The community needs the option to revert. Auto-expiry forces a deliberate decision to make the change permanent — not a slow drift in which nobody remembers it was ever conditional.</w:t>
      </w:r>
    </w:p>
    <w:p>
      <w:pPr>
        <w:pStyle w:val="BlockText"/>
      </w:pPr>
      <w:r>
        <w:rPr>
          <w:b/>
          <w:bCs/>
        </w:rPr>
        <w:t xml:space="preserve">Instructions — How to fill this in</w:t>
      </w:r>
    </w:p>
    <w:p>
      <w:pPr>
        <w:pStyle w:val="BlockText"/>
      </w:pPr>
      <w:r>
        <w:t xml:space="preserve">State the auto-expiry rule, the renewal mechanism, and the obligation to record results in the Learning Log.</w:t>
      </w:r>
    </w:p>
    <w:p>
      <w:pPr>
        <w:pStyle w:val="Compact"/>
        <w:numPr>
          <w:ilvl w:val="0"/>
          <w:numId w:val="1004"/>
        </w:numPr>
      </w:pPr>
    </w:p>
    <w:p>
      <w:pPr>
        <w:pStyle w:val="Compact"/>
        <w:numPr>
          <w:ilvl w:val="0"/>
          <w:numId w:val="1004"/>
        </w:numPr>
      </w:pP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p>
    <w:p>
      <w:pPr>
        <w:pStyle w:val="Compact"/>
        <w:numPr>
          <w:ilvl w:val="0"/>
          <w:numId w:val="1005"/>
        </w:numPr>
      </w:pPr>
      <w:r>
        <w:rPr>
          <w:b/>
          <w:bCs/>
        </w:rPr>
        <w:t xml:space="preserve">Learning Log entry:</w:t>
      </w:r>
      <w:r>
        <w:t xml:space="preserve"> </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