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formalize how proposals enter the system</w:t>
      </w:r>
    </w:p>
    <w:p>
      <w:pPr>
        <w:pStyle w:val="BlockText"/>
      </w:pPr>
      <w:r>
        <w:t xml:space="preserve">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lockText"/>
      </w:pPr>
      <w:r>
        <w:rPr>
          <w:b/>
          <w:bCs/>
        </w:rPr>
        <w:t xml:space="preserve">Rationale — Why enforce a minimum deliberation window</w:t>
      </w:r>
    </w:p>
    <w:p>
      <w:pPr>
        <w:pStyle w:val="BlockText"/>
      </w:pPr>
      <w:r>
        <w:t xml:space="preserve">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tie execution to the record</w:t>
      </w:r>
    </w:p>
    <w:p>
      <w:pPr>
        <w:pStyle w:val="BlockText"/>
      </w:pPr>
      <w:r>
        <w:t xml:space="preserve">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</w:p>
    <w:p>
      <w:pPr>
        <w:pStyle w:val="Compact"/>
        <w:numPr>
          <w:ilvl w:val="0"/>
          <w:numId w:val="1005"/>
        </w:numPr>
      </w:pP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lockText"/>
      </w:pPr>
      <w:r>
        <w:rPr>
          <w:b/>
          <w:bCs/>
        </w:rPr>
        <w:t xml:space="preserve">Rationale — Why document every outcome, including rejections</w:t>
      </w:r>
    </w:p>
    <w:p>
      <w:pPr>
        <w:pStyle w:val="BlockText"/>
      </w:pPr>
      <w:r>
        <w:t xml:space="preserve">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lockText"/>
      </w:pPr>
      <w:r>
        <w:rPr>
          <w:b/>
          <w:bCs/>
        </w:rPr>
        <w:t xml:space="preserve">Rationale — Why make re-votes possible but bounded</w:t>
      </w:r>
    </w:p>
    <w:p>
      <w:pPr>
        <w:pStyle w:val="BlockText"/>
      </w:pPr>
      <w:r>
        <w:t xml:space="preserve">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lockText"/>
      </w:pPr>
      <w:r>
        <w:rPr>
          <w:b/>
          <w:bCs/>
        </w:rPr>
        <w:t xml:space="preserve">Rationale — Why predefine conflict resolution</w:t>
      </w:r>
    </w:p>
    <w:p>
      <w:pPr>
        <w:pStyle w:val="BlockText"/>
      </w:pPr>
      <w:r>
        <w:t xml:space="preserve">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0"/>
          <w:numId w:val="1008"/>
        </w:numPr>
      </w:pP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lockText"/>
      </w:pPr>
      <w:r>
        <w:rPr>
          <w:b/>
          <w:bCs/>
        </w:rPr>
        <w:t xml:space="preserve">Rationale — Why plan for governance failure up front</w:t>
      </w:r>
    </w:p>
    <w:p>
      <w:pPr>
        <w:pStyle w:val="BlockText"/>
      </w:pPr>
      <w:r>
        <w:t xml:space="preserve">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5-governance-protocol" TargetMode="External" /><Relationship Type="http://schemas.openxmlformats.org/officeDocument/2006/relationships/hyperlink" Id="rId15" Target="https://blueprint.ecohubs.community/articles/rcos-core/v0-1/layer-2-governance-decision-logic#46-safeguards-and-failure-modes" TargetMode="External" /><Relationship Type="http://schemas.openxmlformats.org/officeDocument/2006/relationships/hyperlink" Id="rId16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