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embership-agreement"/>
    <w:p>
      <w:pPr>
        <w:pStyle w:val="Heading1"/>
      </w:pPr>
      <w:r>
        <w:t xml:space="preserve">Membership Agreement</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https://blueprint.ecohubs.community/articles/rcos-templates/layer-1/membership-agreement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Rationale — Why declare state at signing</w:t>
      </w:r>
    </w:p>
    <w:p>
      <w:pPr>
        <w:pStyle w:val="BlockText"/>
      </w:pPr>
      <w:r>
        <w:t xml:space="preserve">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lockText"/>
      </w:pPr>
      <w:r>
        <w:rPr>
          <w:b/>
          <w:bCs/>
        </w:rPr>
        <w:t xml:space="preserve">Instructions — How to fill this in</w:t>
      </w:r>
    </w:p>
    <w:p>
      <w:pPr>
        <w:pStyle w:val="BlockText"/>
      </w:pPr>
      <w:r>
        <w:t xml:space="preserve">State which membership state(s) a new member enters at signing (e.g. Trial Member, Full Member, or any custom state defined in your Membership State Registry).</w:t>
      </w:r>
    </w:p>
    <w:p>
      <w:pPr>
        <w:pStyle w:val="FirstParagraph"/>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Rationale — Why enumerate rights explicitly</w:t>
      </w:r>
    </w:p>
    <w:p>
      <w:pPr>
        <w:pStyle w:val="BlockText"/>
      </w:pPr>
      <w:r>
        <w:t xml:space="preserve">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lockText"/>
      </w:pPr>
      <w:r>
        <w:rPr>
          <w:b/>
          <w:bCs/>
        </w:rPr>
        <w:t xml:space="preserve">Instructions — How to fill this in</w:t>
      </w:r>
    </w:p>
    <w:p>
      <w:pPr>
        <w:pStyle w:val="BlockText"/>
      </w:pPr>
      <w:r>
        <w:t xml:space="preserve">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Rationale — Why bound obligations tightly</w:t>
      </w:r>
    </w:p>
    <w:p>
      <w:pPr>
        <w:pStyle w:val="BlockText"/>
      </w:pPr>
      <w:r>
        <w:t xml:space="preserve">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lockText"/>
      </w:pPr>
      <w:r>
        <w:rPr>
          <w:b/>
          <w:bCs/>
        </w:rPr>
        <w:t xml:space="preserve">Instructions — How to fill this in</w:t>
      </w:r>
    </w:p>
    <w:p>
      <w:pPr>
        <w:pStyle w:val="BlockText"/>
      </w:pPr>
      <w:r>
        <w:t xml:space="preserve">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Rationale — Why define participation in numbers</w:t>
      </w:r>
    </w:p>
    <w:p>
      <w:pPr>
        <w:pStyle w:val="BlockText"/>
      </w:pP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lockText"/>
      </w:pPr>
      <w:r>
        <w:rPr>
          <w:b/>
          <w:bCs/>
        </w:rPr>
        <w:t xml:space="preserve">Instructions — How to fill this in</w:t>
      </w:r>
    </w:p>
    <w:p>
      <w:pPr>
        <w:pStyle w:val="BlockText"/>
      </w:pPr>
      <w:r>
        <w:t xml:space="preserve">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2" w:name="due-process-reference"/>
    <w:p>
      <w:pPr>
        <w:pStyle w:val="Heading2"/>
      </w:pPr>
      <w:r>
        <w:t xml:space="preserve">Due Process Reference</w:t>
      </w:r>
    </w:p>
    <w:p>
      <w:pPr>
        <w:pStyle w:val="BlockText"/>
      </w:pPr>
      <w:r>
        <w:rPr>
          <w:b/>
          <w:bCs/>
        </w:rPr>
        <w:t xml:space="preserve">Rationale — Why re-state due process here</w:t>
      </w:r>
    </w:p>
    <w:p>
      <w:pPr>
        <w:pStyle w:val="BlockText"/>
      </w:pPr>
      <w:r>
        <w:t xml:space="preserve">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lockText"/>
      </w:pPr>
      <w:r>
        <w:rPr>
          <w:b/>
          <w:bCs/>
        </w:rPr>
        <w:t xml:space="preserve">Instructions — How to fill this in</w:t>
      </w:r>
    </w:p>
    <w:p>
      <w:pPr>
        <w:pStyle w:val="BlockText"/>
      </w:pPr>
      <w:r>
        <w:t xml:space="preserve">Reference the Conflict Resolution Ladder (Layer 4) and the Exit &amp; Separation Protocol so that any member reading the Membership Agreement knows where the procedural protections live.</w:t>
      </w:r>
    </w:p>
    <w:p>
      <w:pPr>
        <w:pStyle w:val="FirstParagraph"/>
      </w:pPr>
      <w:r>
        <w:t xml:space="preserve">Any forced exit, suspension, or access restriction follows Layer 4 due process and the Exit &amp; Separation Protocol.</w:t>
      </w:r>
    </w:p>
    <w:bookmarkEnd w:id="22"/>
    <w:bookmarkStart w:id="23" w:name="consent-acknowledgment"/>
    <w:p>
      <w:pPr>
        <w:pStyle w:val="Heading2"/>
      </w:pPr>
      <w:r>
        <w:t xml:space="preserve">Consent Acknowledgment</w:t>
      </w:r>
    </w:p>
    <w:p>
      <w:pPr>
        <w:pStyle w:val="BlockText"/>
      </w:pPr>
      <w:r>
        <w:rPr>
          <w:b/>
          <w:bCs/>
        </w:rPr>
        <w:t xml:space="preserve">Rationale — Why require explicit consent</w:t>
      </w:r>
    </w:p>
    <w:p>
      <w:pPr>
        <w:pStyle w:val="BlockText"/>
      </w:pPr>
      <w:r>
        <w:t xml:space="preserve">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lockText"/>
      </w:pPr>
      <w:r>
        <w:rPr>
          <w:b/>
          <w:bCs/>
        </w:rPr>
        <w:t xml:space="preserve">Instructions — How to fill this in</w:t>
      </w:r>
    </w:p>
    <w:p>
      <w:pPr>
        <w:pStyle w:val="BlockText"/>
      </w:pPr>
      <w:r>
        <w:t xml:space="preserve">Describe the act of consent (signature, in-app acknowledgment, etc.), and what artifact versions the member is consenting to at that moment.</w:t>
      </w:r>
    </w:p>
    <w:p>
      <w:pPr>
        <w:pStyle w:val="FirstParagraph"/>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3"/>
    <w:bookmarkStart w:id="24"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2026-04-27T22:01:05Z</dcterms:created>
  <dcterms:modified xsi:type="dcterms:W3CDTF">2026-04-27T22:01:05Z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