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https://blueprint.ecohubs.community/articles/rcos-templates/layer-3/internal-economy-protocol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Rationale — Why classify every resource</w:t>
      </w:r>
    </w:p>
    <w:p>
      <w:pPr>
        <w:pStyle w:val="BlockText"/>
      </w:pPr>
      <w:r>
        <w:t xml:space="preserve">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lockText"/>
      </w:pPr>
      <w:r>
        <w:rPr>
          <w:b/>
          <w:bCs/>
        </w:rPr>
        <w:t xml:space="preserve">Instructions — How to fill this in</w:t>
      </w:r>
    </w:p>
    <w:p>
      <w:pPr>
        <w:pStyle w:val="BlockText"/>
      </w:pPr>
      <w:r>
        <w:t xml:space="preserve">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p>
        </w:tc>
        <w:tc>
          <w:tcPr/>
          <w:p>
            <w:pPr>
              <w:pStyle w:val="Compact"/>
            </w:pPr>
            <w:r>
              <w:rPr>
                <w:i/>
                <w:iCs/>
              </w:rPr>
              <w:t xml:space="preserve">&lt;who reads / writes&gt;</w:t>
            </w:r>
          </w:p>
        </w:tc>
        <w:tc>
          <w:tcPr/>
          <w:p>
            <w:pPr>
              <w:pStyle w:val="Compact"/>
            </w:pP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Rationale — Why name the kinds of work that count</w:t>
      </w:r>
    </w:p>
    <w:p>
      <w:pPr>
        <w:pStyle w:val="BlockText"/>
      </w:pPr>
      <w:r>
        <w:t xml:space="preserve">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lockText"/>
      </w:pPr>
      <w:r>
        <w:rPr>
          <w:b/>
          <w:bCs/>
        </w:rPr>
        <w:t xml:space="preserve">Instructions — How to fill this in</w:t>
      </w:r>
    </w:p>
    <w:p>
      <w:pPr>
        <w:pStyle w:val="BlockText"/>
      </w:pPr>
      <w:r>
        <w:t xml:space="preserve">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p>
        </w:tc>
      </w:tr>
      <w:tr>
        <w:tc>
          <w:tcPr/>
          <w:p>
            <w:pPr>
              <w:pStyle w:val="Compact"/>
            </w:pPr>
            <w:r>
              <w:rPr>
                <w:i/>
                <w:iCs/>
              </w:rPr>
              <w:t xml:space="preserve">&lt;e.g. Technical Development&gt;</w:t>
            </w:r>
          </w:p>
        </w:tc>
        <w:tc>
          <w:tcPr/>
          <w:p>
            <w:pPr>
              <w:pStyle w:val="Compact"/>
            </w:pPr>
          </w:p>
        </w:tc>
      </w:tr>
      <w:tr>
        <w:tc>
          <w:tcPr/>
          <w:p>
            <w:pPr>
              <w:pStyle w:val="Compact"/>
            </w:pPr>
            <w:r>
              <w:rPr>
                <w:i/>
                <w:iCs/>
              </w:rPr>
              <w:t xml:space="preserve">&lt;e.g. Governance &amp; Coordination&gt;</w:t>
            </w:r>
          </w:p>
        </w:tc>
        <w:tc>
          <w:tcPr/>
          <w:p>
            <w:pPr>
              <w:pStyle w:val="Compact"/>
            </w:pPr>
          </w:p>
        </w:tc>
      </w:tr>
      <w:tr>
        <w:tc>
          <w:tcPr/>
          <w:p>
            <w:pPr>
              <w:pStyle w:val="Compact"/>
            </w:pPr>
            <w:r>
              <w:rPr>
                <w:i/>
                <w:iCs/>
              </w:rPr>
              <w:t xml:space="preserve">&lt;e.g. Community Building&gt;</w:t>
            </w:r>
          </w:p>
        </w:tc>
        <w:tc>
          <w:tcPr/>
          <w:p>
            <w:pPr>
              <w:pStyle w:val="Compact"/>
            </w:pPr>
          </w:p>
        </w:tc>
      </w:tr>
      <w:tr>
        <w:tc>
          <w:tcPr/>
          <w:p>
            <w:pPr>
              <w:pStyle w:val="Compact"/>
            </w:pPr>
            <w:r>
              <w:rPr>
                <w:i/>
                <w:iCs/>
              </w:rPr>
              <w:t xml:space="preserve">&lt;e.g. Care &amp; Support&gt;</w:t>
            </w:r>
          </w:p>
        </w:tc>
        <w:tc>
          <w:tcPr/>
          <w:p>
            <w:pPr>
              <w:pStyle w:val="Compact"/>
            </w:pPr>
          </w:p>
        </w:tc>
      </w:tr>
      <w:tr>
        <w:tc>
          <w:tcPr/>
          <w:p>
            <w:pPr>
              <w:pStyle w:val="Compact"/>
            </w:pPr>
            <w:r>
              <w:rPr>
                <w:i/>
                <w:iCs/>
              </w:rPr>
              <w:t xml:space="preserve">&lt;e.g. Stewardship&gt;</w:t>
            </w:r>
          </w:p>
        </w:tc>
        <w:tc>
          <w:tcPr/>
          <w:p>
            <w:pPr>
              <w:pStyle w:val="Compact"/>
            </w:pPr>
          </w:p>
        </w:tc>
      </w:tr>
      <w:tr>
        <w:tc>
          <w:tcPr/>
          <w:p>
            <w:pPr>
              <w:pStyle w:val="Compact"/>
            </w:pPr>
            <w:r>
              <w:rPr>
                <w:i/>
                <w:iCs/>
              </w:rPr>
              <w:t xml:space="preserve">&lt;e.g. Informal Participation&gt;</w:t>
            </w:r>
          </w:p>
        </w:tc>
        <w:tc>
          <w:tcPr/>
          <w:p>
            <w:pPr>
              <w:pStyle w:val="Compact"/>
            </w:pP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pin down how recognition actually works</w:t>
      </w:r>
    </w:p>
    <w:p>
      <w:pPr>
        <w:pStyle w:val="BlockText"/>
      </w:pPr>
      <w:r>
        <w:t xml:space="preserve">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lockText"/>
      </w:pPr>
      <w:r>
        <w:rPr>
          <w:b/>
          <w:bCs/>
        </w:rPr>
        <w:t xml:space="preserve">Instructions — How to fill this in</w:t>
      </w:r>
    </w:p>
    <w:p>
      <w:pPr>
        <w:pStyle w:val="BlockText"/>
      </w:pPr>
      <w:r>
        <w:t xml:space="preserve">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define internal units this precisely</w:t>
      </w:r>
    </w:p>
    <w:p>
      <w:pPr>
        <w:pStyle w:val="BlockText"/>
      </w:pPr>
      <w:r>
        <w:t xml:space="preserve">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lockText"/>
      </w:pPr>
      <w:r>
        <w:rPr>
          <w:b/>
          <w:bCs/>
        </w:rPr>
        <w:t xml:space="preserve">Instructions — How to fill this in</w:t>
      </w:r>
    </w:p>
    <w:p>
      <w:pPr>
        <w:pStyle w:val="BlockText"/>
      </w:pPr>
      <w:r>
        <w:t xml:space="preserve">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p>
        </w:tc>
        <w:tc>
          <w:tcPr/>
          <w:p>
            <w:pPr>
              <w:pStyle w:val="Compact"/>
            </w:pP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Rationale — Why constrain accumulation at all</w:t>
      </w:r>
    </w:p>
    <w:p>
      <w:pPr>
        <w:pStyle w:val="BlockText"/>
      </w:pPr>
      <w:r>
        <w:t xml:space="preserve">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lockText"/>
      </w:pPr>
      <w:r>
        <w:rPr>
          <w:b/>
          <w:bCs/>
        </w:rPr>
        <w:t xml:space="preserve">Instructions — How to fill this in</w:t>
      </w:r>
    </w:p>
    <w:p>
      <w:pPr>
        <w:pStyle w:val="BlockText"/>
      </w:pPr>
      <w:r>
        <w:t xml:space="preserve">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lockText"/>
      </w:pPr>
      <w:r>
        <w:rPr>
          <w:b/>
          <w:bCs/>
        </w:rPr>
        <w:t xml:space="preserve">Rationale — Why require approval before money arrives</w:t>
      </w:r>
    </w:p>
    <w:p>
      <w:pPr>
        <w:pStyle w:val="BlockText"/>
      </w:pPr>
      <w:r>
        <w:t xml:space="preserve">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lockText"/>
      </w:pPr>
      <w:r>
        <w:rPr>
          <w:b/>
          <w:bCs/>
        </w:rPr>
        <w:t xml:space="preserve">Instructions — How to fill this in</w:t>
      </w:r>
    </w:p>
    <w:p>
      <w:pPr>
        <w:pStyle w:val="BlockText"/>
      </w:pPr>
      <w:r>
        <w:t xml:space="preserve">List current declared income channels, name potential future channels, and require Strategic approval before any new channel is opened.</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BlockText"/>
      </w:pPr>
      <w:r>
        <w:rPr>
          <w:b/>
          <w:bCs/>
        </w:rPr>
        <w:t xml:space="preserve">Rationale — Why time-box economic disputes</w:t>
      </w:r>
    </w:p>
    <w:p>
      <w:pPr>
        <w:pStyle w:val="BlockText"/>
      </w:pPr>
      <w:r>
        <w:t xml:space="preserve">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lockText"/>
      </w:pPr>
      <w:r>
        <w:rPr>
          <w:b/>
          <w:bCs/>
        </w:rPr>
        <w:t xml:space="preserve">Instructions — How to fill this in</w:t>
      </w:r>
    </w:p>
    <w:p>
      <w:pPr>
        <w:pStyle w:val="BlockText"/>
      </w:pPr>
      <w:r>
        <w:t xml:space="preserve">State the dispute window, named resolver, and appeal path. Reference the Contribution Recognition Mechanism for the full process.</w:t>
      </w:r>
    </w:p>
    <w:p>
      <w:pPr>
        <w:pStyle w:val="FirstParagraph"/>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2026-04-27T22:01:05Z</dcterms:created>
  <dcterms:modified xsi:type="dcterms:W3CDTF">2026-04-27T22:01:05Z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