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– Regenerative Community Operating System</w:t>
      </w:r>
    </w:p>
    <w:bookmarkStart w:id="25" w:name="conflict-resolution-ladder"/>
    <w:p>
      <w:pPr>
        <w:pStyle w:val="Heading1"/>
      </w:pPr>
      <w:r>
        <w:t xml:space="preserve">Conflict Resolution Ladder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Generiert: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Quelle (aktuelle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https://blueprint.ecohubs.community/de/articles/rcos-templates/layer-4/conflict-resolution-ladder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Alle RCOS-Vorlagen: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https://blueprint.ecohubs.community/de/articles/rcos-templates</w:t>
        </w:r>
      </w:hyperlink>
    </w:p>
    <w:p>
      <w:pPr>
        <w:pStyle w:val="BlockText"/>
      </w:pPr>
      <w:r>
        <w:rPr>
          <w:i/>
          <w:iCs/>
        </w:rPr>
        <w:t xml:space="preserve">Dieser Inhalt ist noch nicht ins Deutsche übersetzt – die englische Quelle wird angezeigt.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4 — Conflict, Repair &amp; Accountability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§6.1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§6.2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§6.3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§6.5</w:t>
        </w:r>
      </w:hyperlink>
    </w:p>
    <w:p>
      <w:r>
        <w:pict>
          <v:rect style="width:0;height:1.5pt" o:hralign="center" o:hrstd="t" o:hr="t"/>
        </w:pict>
      </w:r>
    </w:p>
    <w:bookmarkStart w:id="18" w:name="conflict-classification"/>
    <w:p>
      <w:pPr>
        <w:pStyle w:val="Heading2"/>
      </w:pPr>
      <w:r>
        <w:t xml:space="preserve">Conflict Classification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</w:p>
    <w:p>
      <w:pPr>
        <w:pStyle w:val="BlockText"/>
      </w:pPr>
      <w:r>
        <w:rPr>
          <w:b/>
          <w:bCs/>
        </w:rPr>
        <w:t xml:space="preserve">Begründung — Why classify conflicts at all</w:t>
      </w:r>
    </w:p>
    <w:p>
      <w:pPr>
        <w:pStyle w:val="BlockText"/>
      </w:pPr>
      <w:r>
        <w:t xml:space="preserve">Without named classes, every dispute gets treated the same — or worse, treated differently based on who is involved. Explicit classes set the entry point, the response window, and the documentation burden up front, so safety-critical matters cannot be quietly routed through a friendly chat and minor friction cannot be weaponized into a formal review.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For each class, set entry criteria, the entry step in the ladder, the initial response window, and the documentation burden.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Entry criteria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Initial response window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&lt;Step 1&gt;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&lt;Ethical / obligation breach&gt;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&lt;credible safety risk, coercion, abuse, or threats&gt;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&lt;from intake; immediate action permitted&gt;</w:t>
            </w:r>
          </w:p>
        </w:tc>
      </w:tr>
    </w:tbl>
    <w:p>
      <w:pPr>
        <w:pStyle w:val="BlockText"/>
      </w:pPr>
      <w:r>
        <w:t xml:space="preserve">Safety-critical conflicts override participation rights, role continuity, and operational convenience.</w:t>
      </w:r>
    </w:p>
    <w:bookmarkEnd w:id="18"/>
    <w:bookmarkStart w:id="19" w:name="resolution-ladder-steps"/>
    <w:p>
      <w:pPr>
        <w:pStyle w:val="Heading2"/>
      </w:pPr>
      <w:r>
        <w:t xml:space="preserve">Resolution Ladder Steps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</w:p>
    <w:p>
      <w:pPr>
        <w:pStyle w:val="BlockText"/>
      </w:pPr>
      <w:r>
        <w:rPr>
          <w:b/>
          <w:bCs/>
        </w:rPr>
        <w:t xml:space="preserve">Begründung — Why a stepped ladder instead of a single process</w:t>
      </w:r>
    </w:p>
    <w:p>
      <w:pPr>
        <w:pStyle w:val="BlockText"/>
      </w:pPr>
      <w:r>
        <w:t xml:space="preserve">Most conflict is low-stakes and best resolved between the people involved; forcing everything into formal review would kill trust and flood the governance system. A ladder matches process weight to dispute weight — private conversation first, facilitated dialogue next, written record only when needed, governance vote only when all else fails. It also makes escalation a structural right, not a favour granted by whoever holds social power.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Define each ladder step: who is involved, what happens, the time window, and the escalation rule. Keep the early steps light and confidential; reserve formal review for later steps.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Direct conversation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&lt;parties attempt to resolve privately;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Facilitated dialogue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&lt;facilitator hosts conversation; confidentiality;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Accountability intake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&lt;formal written record opened; submissions;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Accountability review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&lt;structured review; both parties present; written recommendation;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Governance decision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&lt;minimum-necessary disclosure to Full Members; deliberation period; vote mechanism and threshold.&gt;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Separation process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&lt;coordinated with the Exit &amp; Separation Protocol; minimum re-application block.&gt;</w:t>
      </w:r>
    </w:p>
    <w:bookmarkEnd w:id="19"/>
    <w:bookmarkStart w:id="20" w:name="non-response-withdrawal-and-deadlock"/>
    <w:p>
      <w:pPr>
        <w:pStyle w:val="Heading2"/>
      </w:pPr>
      <w:r>
        <w:t xml:space="preserve">Non-Response, Withdrawal, and Deadlock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6.1.5</w:t>
        </w:r>
      </w:hyperlink>
    </w:p>
    <w:p>
      <w:pPr>
        <w:pStyle w:val="BlockText"/>
      </w:pPr>
      <w:r>
        <w:rPr>
          <w:b/>
          <w:bCs/>
        </w:rPr>
        <w:t xml:space="preserve">Begründung — What stops a process from being killed by silence</w:t>
      </w:r>
    </w:p>
    <w:p>
      <w:pPr>
        <w:pStyle w:val="BlockText"/>
      </w:pPr>
      <w:r>
        <w:t xml:space="preserve">The easiest way to defeat any accountability process is to ignore it. If non-response, withdrawal, or deadlock leaves the matter frozen, the party on the receiving end of harm carries the cost of the inaction. Explicit rules for each failure mode convert silence into a documented escalation trigger rather than a veto.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Define how non-response, mid-process withdrawal, deadlock, and procedural failure are handled. Each should have a documented escalation path.</w:t>
      </w:r>
    </w:p>
    <w:p>
      <w:pPr>
        <w:pStyle w:val="FirstParagraph"/>
      </w:pPr>
      <w:r>
        <w:rPr>
          <w:b/>
          <w:bCs/>
        </w:rPr>
        <w:t xml:space="preserve">If a party does not respond within the defined window: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&lt;Follow-up notice; additional grace period; treatment of continued silence as non-resolution; escalation rule.&gt;</w:t>
      </w:r>
    </w:p>
    <w:p>
      <w:pPr>
        <w:pStyle w:val="FirstParagraph"/>
      </w:pPr>
      <w:r>
        <w:rPr>
          <w:b/>
          <w:bCs/>
        </w:rPr>
        <w:t xml:space="preserve">If a party withdraws mid-process: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&lt;Notification of withdrawal; option for the other party to close or request a written summary; escalation rule for outstanding accountability matters.&gt;</w:t>
      </w:r>
    </w:p>
    <w:p>
      <w:pPr>
        <w:pStyle w:val="FirstParagraph"/>
      </w:pPr>
      <w:r>
        <w:rPr>
          <w:b/>
          <w:bCs/>
        </w:rPr>
        <w:t xml:space="preserve">Deadlock (all resolution attempts exhausted):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&lt;Documentation of the deadlock; escalation to governance decision.&gt;</w:t>
      </w:r>
    </w:p>
    <w:p>
      <w:pPr>
        <w:pStyle w:val="FirstParagraph"/>
      </w:pPr>
      <w:r>
        <w:rPr>
          <w:b/>
          <w:bCs/>
        </w:rPr>
        <w:t xml:space="preserve">Procedural failure review: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&lt;How procedural objections are raised; where they are logged; trigger for review of this artifact under the Change Protocol.&gt;</w:t>
      </w:r>
    </w:p>
    <w:p>
      <w:r>
        <w:pict>
          <v:rect style="width:0;height:1.5pt" o:hralign="center" o:hrstd="t" o:hr="t"/>
        </w:pict>
      </w:r>
    </w:p>
    <w:bookmarkEnd w:id="20"/>
    <w:bookmarkStart w:id="21" w:name="facilitator-selection-and-replacement"/>
    <w:p>
      <w:pPr>
        <w:pStyle w:val="Heading2"/>
      </w:pPr>
      <w:r>
        <w:t xml:space="preserve">Facilitator Selection and Replacement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6.3.3</w:t>
        </w:r>
      </w:hyperlink>
    </w:p>
    <w:p>
      <w:pPr>
        <w:pStyle w:val="BlockText"/>
      </w:pPr>
      <w:r>
        <w:rPr>
          <w:b/>
          <w:bCs/>
        </w:rPr>
        <w:t xml:space="preserve">Begründung — Why name how the Facilitator is chosen or replaced</w:t>
      </w:r>
    </w:p>
    <w:p>
      <w:pPr>
        <w:pStyle w:val="BlockText"/>
      </w:pPr>
      <w:r>
        <w:t xml:space="preserve">A facilitator who is implicated in the conflict — or socially aligned with one party — cannot hold the process fairly, no matter how good their intentions. Naming selection and replacement rules up front means the affected party does not have to fight for a neutral hearing while already under stress.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State the default facilitator role, the rule when the facilitator is a party, the right to decline, and any provision for external facilitation.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&lt;Rule when the facilitator is a party — selection of a neutral substitute.&gt;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0"/>
          <w:numId w:val="1008"/>
        </w:numPr>
      </w:pPr>
    </w:p>
    <w:bookmarkEnd w:id="21"/>
    <w:bookmarkStart w:id="22" w:name="X19f5fe057d25adae32f263c153bbffc77ee75e3"/>
    <w:p>
      <w:pPr>
        <w:pStyle w:val="Heading2"/>
      </w:pPr>
      <w:r>
        <w:t xml:space="preserve">Privacy and Information Access Boundaries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</w:p>
    <w:p>
      <w:pPr>
        <w:pStyle w:val="BlockText"/>
      </w:pPr>
      <w:r>
        <w:rPr>
          <w:b/>
          <w:bCs/>
        </w:rPr>
        <w:t xml:space="preserve">Begründung — Why bound information flow so tightly</w:t>
      </w:r>
    </w:p>
    <w:p>
      <w:pPr>
        <w:pStyle w:val="BlockText"/>
      </w:pPr>
      <w:r>
        <w:t xml:space="preserve">Conflict records contain the most sensitive material the community holds. Leaks, gossip, or casual disclosure cause second-order harm and deter future reporting. Explicit boundaries — what stays with the parties, what reaches Full Members, and when records are destroyed — make confidentiality enforceable rather than aspirational.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State which steps are fully confidential, what minimum information may be disclosed at the governance step, the retention period, and the non-disclosure obligation.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&lt;Steps 1–4: fully confidential; only parties and Facilitator may access records.&gt;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&lt;Steps 5–6: minimum necessary information disclosed to Full Members; parties notified before disclosure. Define what</w:t>
      </w:r>
      <w:r>
        <w:rPr>
          <w:i/>
          <w:iCs/>
        </w:rPr>
        <w:t xml:space="preserve"> </w:t>
      </w:r>
      <w:r>
        <w:rPr>
          <w:i/>
          <w:iCs/>
        </w:rPr>
        <w:t xml:space="preserve">“minimum necessary”</w:t>
      </w:r>
      <w:r>
        <w:rPr>
          <w:i/>
          <w:iCs/>
        </w:rPr>
        <w:t xml:space="preserve"> </w:t>
      </w:r>
      <w:r>
        <w:rPr>
          <w:i/>
          <w:iCs/>
        </w:rPr>
        <w:t xml:space="preserve">means.&gt;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&lt;Record retention: who holds records, for how long, then destroyed.&gt;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&lt;Non-disclosure: no participant may share information about the process outside the defined participants without written consent of all parties.&gt;</w:t>
      </w:r>
    </w:p>
    <w:bookmarkEnd w:id="22"/>
    <w:bookmarkStart w:id="23" w:name="safeguards"/>
    <w:p>
      <w:pPr>
        <w:pStyle w:val="Heading2"/>
      </w:pPr>
      <w:r>
        <w:t xml:space="preserve">Safeguards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6.3.5</w:t>
        </w:r>
      </w:hyperlink>
    </w:p>
    <w:p>
      <w:pPr>
        <w:pStyle w:val="BlockText"/>
      </w:pPr>
      <w:r>
        <w:rPr>
          <w:b/>
          <w:bCs/>
        </w:rPr>
        <w:t xml:space="preserve">Begründung — Why do safeguards exist on top of the ladder</w:t>
      </w:r>
    </w:p>
    <w:p>
      <w:pPr>
        <w:pStyle w:val="BlockText"/>
      </w:pPr>
      <w:r>
        <w:t xml:space="preserve">Process alone does not protect the party with less power. Retaliation, bad-faith complaints, conflicted facilitators, and unreviewed safety risks can all neutralize an otherwise good procedure. Safeguards are the backstops that keep the ladder functional when incentives push against honest reporting.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For each safeguard, state the rule and the consequence when it is violated. Power-differential cases need their own intake channel.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Anti-retaliation: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Bad-faith complaints: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Facilitator conflict of interest: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Process pause: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Safety-critical immediate action:</w:t>
      </w:r>
      <w:r>
        <w:t xml:space="preserve"> </w:t>
      </w:r>
      <w:r>
        <w:rPr>
          <w:i/>
          <w:iCs/>
        </w:rPr>
        <w:t xml:space="preserve">&lt;facilitator may recommend a temporary access restriction pending review; review window.&gt;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Power differential — separate intake channel:</w:t>
      </w:r>
      <w:r>
        <w:t xml:space="preserve"> </w:t>
      </w:r>
      <w:r>
        <w:rPr>
          <w:i/>
          <w:iCs/>
        </w:rPr>
        <w:t xml:space="preserve">&lt;where a power differential exists, the affected member may submit intake directly to a body other than the standard Facilitator.&gt;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Role suspension during review:</w:t>
      </w:r>
      <w:r>
        <w:t xml:space="preserve"> </w:t>
      </w:r>
      <w:r>
        <w:rPr>
          <w:i/>
          <w:iCs/>
        </w:rPr>
        <w:t xml:space="preserve">&lt;Full Members may temporarily suspend a role holder’s delegated authority during review without constituting forced exit.&gt;</w:t>
      </w:r>
    </w:p>
    <w:p>
      <w:r>
        <w:pict>
          <v:rect style="width:0;height:1.5pt" o:hralign="center" o:hrstd="t" o:hr="t"/>
        </w:pict>
      </w:r>
    </w:p>
    <w:bookmarkEnd w:id="23"/>
    <w:bookmarkStart w:id="24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de/articles/rcos-core/v0-1/layer-4-conflict-repair-accountability#61-conflict-classification" TargetMode="External" /><Relationship Type="http://schemas.openxmlformats.org/officeDocument/2006/relationships/hyperlink" Id="rId15" Target="https://blueprint.ecohubs.community/de/articles/rcos-core/v0-1/layer-4-conflict-repair-accountability#62-resolution-pathways" TargetMode="External" /><Relationship Type="http://schemas.openxmlformats.org/officeDocument/2006/relationships/hyperlink" Id="rId16" Target="https://blueprint.ecohubs.community/de/articles/rcos-core/v0-1/layer-4-conflict-repair-accountability#63-safeguards" TargetMode="External" /><Relationship Type="http://schemas.openxmlformats.org/officeDocument/2006/relationships/hyperlink" Id="rId17" Target="https://blueprint.ecohubs.community/de/articles/rcos-core/v0-1/layer-4-conflict-repair-accountability#65-artifacts" TargetMode="External" /><Relationship Type="http://schemas.openxmlformats.org/officeDocument/2006/relationships/hyperlink" Id="rId13" Target="https://blueprint.ecohubs.community/de/articles/rcos-templates" TargetMode="External" /><Relationship Type="http://schemas.openxmlformats.org/officeDocument/2006/relationships/hyperlink" Id="rId12" Target="https://blueprint.ecohubs.community/de/articles/rcos-templates/layer-4/conflict-resolution-lad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de/articles/rcos-core/v0-1/layer-4-conflict-repair-accountability#61-conflict-classification" TargetMode="External" /><Relationship Type="http://schemas.openxmlformats.org/officeDocument/2006/relationships/hyperlink" Id="rId15" Target="https://blueprint.ecohubs.community/de/articles/rcos-core/v0-1/layer-4-conflict-repair-accountability#62-resolution-pathways" TargetMode="External" /><Relationship Type="http://schemas.openxmlformats.org/officeDocument/2006/relationships/hyperlink" Id="rId16" Target="https://blueprint.ecohubs.community/de/articles/rcos-core/v0-1/layer-4-conflict-repair-accountability#63-safeguards" TargetMode="External" /><Relationship Type="http://schemas.openxmlformats.org/officeDocument/2006/relationships/hyperlink" Id="rId17" Target="https://blueprint.ecohubs.community/de/articles/rcos-core/v0-1/layer-4-conflict-repair-accountability#65-artifacts" TargetMode="External" /><Relationship Type="http://schemas.openxmlformats.org/officeDocument/2006/relationships/hyperlink" Id="rId13" Target="https://blueprint.ecohubs.community/de/articles/rcos-templates" TargetMode="External" /><Relationship Type="http://schemas.openxmlformats.org/officeDocument/2006/relationships/hyperlink" Id="rId12" Target="https://blueprint.ecohubs.community/de/articles/rcos-templates/layer-4/conflict-resolution-lad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2026-04-28T01:21:05Z</dcterms:created>
  <dcterms:modified xsi:type="dcterms:W3CDTF">2026-04-28T01:21:05Z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Conflict Resolution Ladder</vt:lpwstr>
  </property>
</Properties>
</file>