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FirstParagraph"/>
      </w:pPr>
      <w:r>
        <w:t xml:space="preserve">&gt; 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write every authority down</w:t>
      </w:r>
      <w:r>
        <w:t xml:space="preserve"> </w:t>
      </w:r>
      <w:r>
        <w:t xml:space="preserve">&gt;</w:t>
      </w:r>
      <w:r>
        <w:t xml:space="preserve"> </w:t>
      </w:r>
      <w:r>
        <w:t xml:space="preserve">&gt; 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&lt;scope&gt;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&lt;duration&gt;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&lt;scope&gt;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&lt;duration&gt;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&lt;scope&gt;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&lt;duration&gt;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odyText"/>
      </w:pPr>
      <w:r>
        <w:t xml:space="preserve">&gt; Authority must not be derived from charisma, seniority, ownership, or informal influence.</w:t>
      </w:r>
      <w:r>
        <w:t xml:space="preserve"> </w:t>
      </w:r>
      <w:r>
        <w:t xml:space="preserve">&gt; 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articles/rcos-core/v0-1/layer-2-governance-decision-logic#43-authority-boundaries" TargetMode="External" /><Relationship Type="http://schemas.openxmlformats.org/officeDocument/2006/relationships/hyperlink" Id="rId15" Target="https://rcos.ecohubs.community/articles/rcos-core/v0-1/layer-2-governance-decision-logic#47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articles/rcos-core/v0-1/layer-2-governance-decision-logic#43-authority-boundaries" TargetMode="External" /><Relationship Type="http://schemas.openxmlformats.org/officeDocument/2006/relationships/hyperlink" Id="rId15" Target="https://rcos.ecohubs.community/articles/rcos-core/v0-1/layer-2-governance-decision-logic#47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2026-08-31T15:38:26Z</dcterms:created>
  <dcterms:modified xsi:type="dcterms:W3CDTF">2026-08-31T15:38:26Z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