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9" w:name="operations-manual"/>
    <w:p>
      <w:pPr>
        <w:pStyle w:val="Heading1"/>
      </w:pPr>
      <w:r>
        <w:t xml:space="preserve">Operations Manual</w:t>
      </w:r>
    </w:p>
    <w:p>
      <w:pPr>
        <w:pStyle w:val="Compact"/>
        <w:numPr>
          <w:ilvl w:val="0"/>
          <w:numId w:val="1001"/>
        </w:numPr>
      </w:pPr>
      <w:r>
        <w:rPr>
          <w:b/>
          <w:bCs/>
        </w:rPr>
        <w:t xml:space="preserve">Generated:</w:t>
      </w:r>
      <w:r>
        <w:t xml:space="preserve"> </w:t>
      </w:r>
      <w:r>
        <w:t xml:space="preserve">2026-08-31</w:t>
      </w:r>
    </w:p>
    <w:p>
      <w:pPr>
        <w:pStyle w:val="Compact"/>
        <w:numPr>
          <w:ilvl w:val="0"/>
          <w:numId w:val="1001"/>
        </w:numPr>
      </w:pPr>
      <w:r>
        <w:rPr>
          <w:b/>
          <w:bCs/>
        </w:rPr>
        <w:t xml:space="preserve">Source (latest version):</w:t>
      </w:r>
      <w:r>
        <w:t xml:space="preserve"> </w:t>
      </w:r>
      <w:hyperlink r:id="rId12">
        <w:r>
          <w:rPr>
            <w:rStyle w:val="Hyperlink"/>
          </w:rPr>
          <w:t xml:space="preserve">https://rcos.ecohubs.community/articles/rcos-templates/layer-5/operations-manual</w:t>
        </w:r>
      </w:hyperlink>
    </w:p>
    <w:p>
      <w:pPr>
        <w:pStyle w:val="Compact"/>
        <w:numPr>
          <w:ilvl w:val="0"/>
          <w:numId w:val="1001"/>
        </w:numPr>
      </w:pPr>
      <w:r>
        <w:rPr>
          <w:b/>
          <w:bCs/>
        </w:rPr>
        <w:t xml:space="preserve">All RCOS templates:</w:t>
      </w:r>
      <w:r>
        <w:t xml:space="preserve"> </w:t>
      </w:r>
      <w:hyperlink r:id="rId13">
        <w:r>
          <w:rPr>
            <w:rStyle w:val="Hyperlink"/>
          </w:rPr>
          <w:t xml:space="preserve">https://rcos.ecohubs.community/articles/rcos-templates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5 — Operations &amp; Coordination</w:t>
      </w:r>
    </w:p>
    <w:p>
      <w:pPr>
        <w:pStyle w:val="Compact"/>
        <w:numPr>
          <w:ilvl w:val="0"/>
          <w:numId w:val="1002"/>
        </w:numPr>
      </w:pPr>
      <w:r>
        <w:rPr>
          <w:b/>
          <w:bCs/>
        </w:rPr>
        <w:t xml:space="preserve">Status:</w:t>
      </w:r>
      <w:r>
        <w:t xml:space="preserve"> </w:t>
      </w:r>
      <w:r>
        <w:t xml:space="preserve">Template — adapt for your community</w:t>
      </w:r>
    </w:p>
    <w:p>
      <w:pPr>
        <w:pStyle w:val="Compact"/>
        <w:numPr>
          <w:ilvl w:val="0"/>
          <w:numId w:val="1002"/>
        </w:numPr>
      </w:pPr>
      <w:r>
        <w:rPr>
          <w:b/>
          <w:bCs/>
        </w:rPr>
        <w:t xml:space="preserve">RCOS reference:</w:t>
      </w:r>
      <w:r>
        <w:t xml:space="preserve"> </w:t>
      </w:r>
      <w:hyperlink r:id="rId14">
        <w:r>
          <w:rPr>
            <w:rStyle w:val="Hyperlink"/>
          </w:rPr>
          <w:t xml:space="preserve">§7.1</w:t>
        </w:r>
      </w:hyperlink>
      <w:r>
        <w:t xml:space="preserve">,</w:t>
      </w:r>
      <w:r>
        <w:t xml:space="preserve"> </w:t>
      </w:r>
      <w:hyperlink r:id="rId15">
        <w:r>
          <w:rPr>
            <w:rStyle w:val="Hyperlink"/>
          </w:rPr>
          <w:t xml:space="preserve">§7.3</w:t>
        </w:r>
      </w:hyperlink>
      <w:r>
        <w:t xml:space="preserve">,</w:t>
      </w:r>
      <w:r>
        <w:t xml:space="preserve"> </w:t>
      </w:r>
      <w:hyperlink r:id="rId16">
        <w:r>
          <w:rPr>
            <w:rStyle w:val="Hyperlink"/>
          </w:rPr>
          <w:t xml:space="preserve">§7.4</w:t>
        </w:r>
      </w:hyperlink>
      <w:r>
        <w:t xml:space="preserve">,</w:t>
      </w:r>
      <w:r>
        <w:t xml:space="preserve"> </w:t>
      </w:r>
      <w:hyperlink r:id="rId17">
        <w:r>
          <w:rPr>
            <w:rStyle w:val="Hyperlink"/>
          </w:rPr>
          <w:t xml:space="preserve">§7.5</w:t>
        </w:r>
      </w:hyperlink>
      <w:r>
        <w:t xml:space="preserve">,</w:t>
      </w:r>
      <w:r>
        <w:t xml:space="preserve"> </w:t>
      </w:r>
      <w:hyperlink r:id="rId18">
        <w:r>
          <w:rPr>
            <w:rStyle w:val="Hyperlink"/>
          </w:rPr>
          <w:t xml:space="preserve">§7.6</w:t>
        </w:r>
      </w:hyperlink>
    </w:p>
    <w:p>
      <w:r>
        <w:pict>
          <v:rect style="width:0;height:1.5pt" o:hralign="center" o:hrstd="t" o:hr="t"/>
        </w:pict>
      </w:r>
    </w:p>
    <w:bookmarkStart w:id="20" w:name="core-operational-processes"/>
    <w:p>
      <w:pPr>
        <w:pStyle w:val="Heading2"/>
      </w:pPr>
      <w:r>
        <w:t xml:space="preserve">Core Operational Processes</w:t>
      </w:r>
    </w:p>
    <w:p>
      <w:pPr>
        <w:pStyle w:val="FirstParagraph"/>
      </w:pPr>
      <w:r>
        <w:rPr>
          <w:i/>
          <w:iCs/>
        </w:rPr>
        <w:t xml:space="preserve">RCOS clauses:</w:t>
      </w:r>
      <w:r>
        <w:rPr>
          <w:i/>
          <w:iCs/>
        </w:rPr>
        <w:t xml:space="preserve"> </w:t>
      </w:r>
      <w:hyperlink r:id="rId15">
        <w:r>
          <w:rPr>
            <w:rStyle w:val="Hyperlink"/>
            <w:i/>
            <w:iCs/>
          </w:rPr>
          <w:t xml:space="preserve">7.3.4</w:t>
        </w:r>
      </w:hyperlink>
      <w:r>
        <w:rPr>
          <w:i/>
          <w:iCs/>
        </w:rPr>
        <w:t xml:space="preserve">,</w:t>
      </w:r>
      <w:r>
        <w:rPr>
          <w:i/>
          <w:iCs/>
        </w:rPr>
        <w:t xml:space="preserve"> </w:t>
      </w:r>
      <w:hyperlink r:id="rId19">
        <w:r>
          <w:rPr>
            <w:rStyle w:val="Hyperlink"/>
            <w:i/>
            <w:iCs/>
          </w:rPr>
          <w:t xml:space="preserve">7.7.2</w:t>
        </w:r>
      </w:hyperlink>
      <w:r>
        <w:rPr>
          <w:i/>
          <w:iCs/>
        </w:rPr>
        <w:t xml:space="preserve">,</w:t>
      </w:r>
      <w:r>
        <w:rPr>
          <w:i/>
          <w:iCs/>
        </w:rPr>
        <w:t xml:space="preserve"> </w:t>
      </w:r>
      <w:hyperlink r:id="rId18">
        <w:r>
          <w:rPr>
            <w:rStyle w:val="Hyperlink"/>
            <w:i/>
            <w:iCs/>
          </w:rPr>
          <w:t xml:space="preserve">7.6.3</w:t>
        </w:r>
      </w:hyperlink>
    </w:p>
    <w:p>
      <w:pPr>
        <w:pStyle w:val="BodyText"/>
      </w:pPr>
      <w:r>
        <w:t xml:space="preserve">&gt;</w:t>
      </w:r>
      <w:r>
        <w:t xml:space="preserve"> </w:t>
      </w:r>
      <w:r>
        <w:rPr>
          <w:b/>
          <w:bCs/>
        </w:rPr>
        <w:t xml:space="preserve">Rationale — Why document critical processes</w:t>
      </w:r>
      <w:r>
        <w:t xml:space="preserve"> </w:t>
      </w:r>
      <w:r>
        <w:t xml:space="preserve">&gt;</w:t>
      </w:r>
      <w:r>
        <w:t xml:space="preserve"> </w:t>
      </w:r>
      <w:r>
        <w:t xml:space="preserve">&gt; If a process only lives in one person’s head, the community depends on that person showing up — forever. Writing the critical processes down, with named owners, is what converts private knowledge into a community asset that survives handovers, absences, and exits.</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For every recurring critical process (onboarding, exit, proposal publication, contribution recording, meeting cadence, treasury management, platform access review), name an owner and a brief description.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Process</w:t>
            </w:r>
          </w:p>
        </w:tc>
        <w:tc>
          <w:tcPr/>
          <w:p>
            <w:pPr>
              <w:pStyle w:val="Compact"/>
            </w:pPr>
            <w:r>
              <w:t xml:space="preserve">Who</w:t>
            </w:r>
          </w:p>
        </w:tc>
        <w:tc>
          <w:tcPr/>
          <w:p>
            <w:pPr>
              <w:pStyle w:val="Compact"/>
            </w:pPr>
            <w:r>
              <w:t xml:space="preserve">Detail</w:t>
            </w:r>
          </w:p>
        </w:tc>
      </w:tr>
      <w:tr>
        <w:tc>
          <w:tcPr/>
          <w:p>
            <w:pPr>
              <w:pStyle w:val="Compact"/>
            </w:pPr>
            <w:r>
              <w:rPr>
                <w:i/>
                <w:iCs/>
              </w:rPr>
              <w:t xml:space="preserve">&lt;Member onboarding&gt;</w:t>
            </w:r>
          </w:p>
        </w:tc>
        <w:tc>
          <w:tcPr/>
          <w:p>
            <w:pPr>
              <w:pStyle w:val="Compact"/>
            </w:pPr>
            <w:r>
              <w:rPr>
                <w:i/>
                <w:iCs/>
              </w:rPr>
              <w:t xml:space="preserve">&lt;role&gt;</w:t>
            </w:r>
          </w:p>
        </w:tc>
        <w:tc>
          <w:tcPr/>
          <w:p>
            <w:pPr>
              <w:pStyle w:val="Compact"/>
            </w:pPr>
            <w:r>
              <w:rPr>
                <w:i/>
                <w:iCs/>
              </w:rPr>
              <w:t xml:space="preserve">&lt;see Onboarding Protocol (Layer 1)&gt;</w:t>
            </w:r>
          </w:p>
        </w:tc>
      </w:tr>
      <w:tr>
        <w:tc>
          <w:tcPr/>
          <w:p>
            <w:pPr>
              <w:pStyle w:val="Compact"/>
            </w:pPr>
            <w:r>
              <w:rPr>
                <w:i/>
                <w:iCs/>
              </w:rPr>
              <w:t xml:space="preserve">&lt;Member exit&gt;</w:t>
            </w:r>
          </w:p>
        </w:tc>
        <w:tc>
          <w:tcPr/>
          <w:p>
            <w:pPr>
              <w:pStyle w:val="Compact"/>
            </w:pPr>
            <w:r>
              <w:rPr>
                <w:i/>
                <w:iCs/>
              </w:rPr>
              <w:t xml:space="preserve">&lt;role&gt;</w:t>
            </w:r>
          </w:p>
        </w:tc>
        <w:tc>
          <w:tcPr/>
          <w:p>
            <w:pPr>
              <w:pStyle w:val="Compact"/>
            </w:pPr>
            <w:r>
              <w:rPr>
                <w:i/>
                <w:iCs/>
              </w:rPr>
              <w:t xml:space="preserve">&lt;see Exit &amp; Separation Protocol (Layer 1)&gt;</w:t>
            </w:r>
          </w:p>
        </w:tc>
      </w:tr>
      <w:tr>
        <w:tc>
          <w:tcPr/>
          <w:p>
            <w:pPr>
              <w:pStyle w:val="Compact"/>
            </w:pPr>
            <w:r>
              <w:rPr>
                <w:i/>
                <w:iCs/>
              </w:rPr>
              <w:t xml:space="preserve">&lt;Proposal publication&gt;</w:t>
            </w:r>
          </w:p>
        </w:tc>
        <w:tc>
          <w:tcPr/>
          <w:p>
            <w:pPr>
              <w:pStyle w:val="Compact"/>
            </w:pPr>
            <w:r>
              <w:rPr>
                <w:i/>
                <w:iCs/>
              </w:rPr>
              <w:t xml:space="preserve">&lt;role&gt;</w:t>
            </w:r>
          </w:p>
        </w:tc>
        <w:tc>
          <w:tcPr/>
          <w:p>
            <w:pPr>
              <w:pStyle w:val="Compact"/>
            </w:pPr>
            <w:r>
              <w:rPr>
                <w:i/>
                <w:iCs/>
              </w:rPr>
              <w:t xml:space="preserve">&lt;see Governance Protocol (Layer 2)&gt;</w:t>
            </w:r>
          </w:p>
        </w:tc>
      </w:tr>
      <w:tr>
        <w:tc>
          <w:tcPr/>
          <w:p>
            <w:pPr>
              <w:pStyle w:val="Compact"/>
            </w:pPr>
            <w:r>
              <w:rPr>
                <w:i/>
                <w:iCs/>
              </w:rPr>
              <w:t xml:space="preserve">&lt;Contribution recording&gt;</w:t>
            </w:r>
          </w:p>
        </w:tc>
        <w:tc>
          <w:tcPr/>
          <w:p>
            <w:pPr>
              <w:pStyle w:val="Compact"/>
            </w:pPr>
            <w:r>
              <w:rPr>
                <w:i/>
                <w:iCs/>
              </w:rPr>
              <w:t xml:space="preserve">&lt;role&gt;</w:t>
            </w:r>
          </w:p>
        </w:tc>
        <w:tc>
          <w:tcPr/>
          <w:p>
            <w:pPr>
              <w:pStyle w:val="Compact"/>
            </w:pPr>
            <w:r>
              <w:rPr>
                <w:i/>
                <w:iCs/>
              </w:rPr>
              <w:t xml:space="preserve">&lt;see Internal Economy Protocol (Layer 3)&gt;</w:t>
            </w:r>
          </w:p>
        </w:tc>
      </w:tr>
      <w:tr>
        <w:tc>
          <w:tcPr/>
          <w:p>
            <w:pPr>
              <w:pStyle w:val="Compact"/>
            </w:pPr>
            <w:r>
              <w:rPr>
                <w:i/>
                <w:iCs/>
              </w:rPr>
              <w:t xml:space="preserve">&lt;Recurring meeting&gt;</w:t>
            </w:r>
          </w:p>
        </w:tc>
        <w:tc>
          <w:tcPr/>
          <w:p>
            <w:pPr>
              <w:pStyle w:val="Compact"/>
            </w:pPr>
            <w:r>
              <w:rPr>
                <w:i/>
                <w:iCs/>
              </w:rPr>
              <w:t xml:space="preserve">&lt;facilitator&gt;</w:t>
            </w:r>
          </w:p>
        </w:tc>
        <w:tc>
          <w:tcPr/>
          <w:p>
            <w:pPr>
              <w:pStyle w:val="Compact"/>
            </w:pPr>
            <w:r>
              <w:rPr>
                <w:i/>
                <w:iCs/>
              </w:rPr>
              <w:t xml:space="preserve">&lt;agenda publication; notes; action tracking&gt;</w:t>
            </w:r>
          </w:p>
        </w:tc>
      </w:tr>
      <w:tr>
        <w:tc>
          <w:tcPr/>
          <w:p>
            <w:pPr>
              <w:pStyle w:val="Compact"/>
            </w:pPr>
            <w:r>
              <w:rPr>
                <w:i/>
                <w:iCs/>
              </w:rPr>
              <w:t xml:space="preserve">&lt;Treasury management&gt;</w:t>
            </w:r>
          </w:p>
        </w:tc>
        <w:tc>
          <w:tcPr/>
          <w:p>
            <w:pPr>
              <w:pStyle w:val="Compact"/>
            </w:pPr>
            <w:r>
              <w:rPr>
                <w:i/>
                <w:iCs/>
              </w:rPr>
              <w:t xml:space="preserve">&lt;finance steward&gt;</w:t>
            </w:r>
          </w:p>
        </w:tc>
        <w:tc>
          <w:tcPr/>
          <w:p>
            <w:pPr>
              <w:pStyle w:val="Compact"/>
            </w:pPr>
            <w:r>
              <w:rPr>
                <w:i/>
                <w:iCs/>
              </w:rPr>
              <w:t xml:space="preserve">&lt;see Treasury Ruleset (Layer 3)&gt;</w:t>
            </w:r>
          </w:p>
        </w:tc>
      </w:tr>
      <w:tr>
        <w:tc>
          <w:tcPr/>
          <w:p>
            <w:pPr>
              <w:pStyle w:val="Compact"/>
            </w:pPr>
            <w:r>
              <w:rPr>
                <w:i/>
                <w:iCs/>
              </w:rPr>
              <w:t xml:space="preserve">&lt;Platform access review&gt;</w:t>
            </w:r>
          </w:p>
        </w:tc>
        <w:tc>
          <w:tcPr/>
          <w:p>
            <w:pPr>
              <w:pStyle w:val="Compact"/>
            </w:pPr>
            <w:r>
              <w:rPr>
                <w:i/>
                <w:iCs/>
              </w:rPr>
              <w:t xml:space="preserve">&lt;infrastructure steward&gt;</w:t>
            </w:r>
          </w:p>
        </w:tc>
        <w:tc>
          <w:tcPr/>
          <w:p>
            <w:pPr>
              <w:pStyle w:val="Compact"/>
            </w:pPr>
            <w:r>
              <w:rPr>
                <w:i/>
                <w:iCs/>
              </w:rPr>
              <w:t xml:space="preserve">&lt;review cadence; access revocation for exited members&gt;</w:t>
            </w:r>
          </w:p>
        </w:tc>
      </w:tr>
    </w:tbl>
    <w:bookmarkEnd w:id="20"/>
    <w:bookmarkStart w:id="21" w:name="temporary-and-ad-hoc-responsibilities"/>
    <w:p>
      <w:pPr>
        <w:pStyle w:val="Heading2"/>
      </w:pPr>
      <w:r>
        <w:t xml:space="preserve">Temporary and Ad-Hoc Responsibilities</w:t>
      </w:r>
    </w:p>
    <w:p>
      <w:pPr>
        <w:pStyle w:val="FirstParagraph"/>
      </w:pPr>
      <w:r>
        <w:rPr>
          <w:i/>
          <w:iCs/>
        </w:rPr>
        <w:t xml:space="preserve">RCOS clauses:</w:t>
      </w:r>
      <w:r>
        <w:rPr>
          <w:i/>
          <w:iCs/>
        </w:rPr>
        <w:t xml:space="preserve"> </w:t>
      </w:r>
      <w:hyperlink r:id="rId14">
        <w:r>
          <w:rPr>
            <w:rStyle w:val="Hyperlink"/>
            <w:i/>
            <w:iCs/>
          </w:rPr>
          <w:t xml:space="preserve">7.1.5</w:t>
        </w:r>
      </w:hyperlink>
      <w:r>
        <w:rPr>
          <w:i/>
          <w:iCs/>
        </w:rPr>
        <w:t xml:space="preserve">,</w:t>
      </w:r>
      <w:r>
        <w:rPr>
          <w:i/>
          <w:iCs/>
        </w:rPr>
        <w:t xml:space="preserve"> </w:t>
      </w:r>
      <w:hyperlink r:id="rId14">
        <w:r>
          <w:rPr>
            <w:rStyle w:val="Hyperlink"/>
            <w:i/>
            <w:iCs/>
          </w:rPr>
          <w:t xml:space="preserve">7.1.4</w:t>
        </w:r>
      </w:hyperlink>
      <w:r>
        <w:rPr>
          <w:i/>
          <w:iCs/>
        </w:rPr>
        <w:t xml:space="preserve">,</w:t>
      </w:r>
      <w:r>
        <w:rPr>
          <w:i/>
          <w:iCs/>
        </w:rPr>
        <w:t xml:space="preserve"> </w:t>
      </w:r>
      <w:hyperlink r:id="rId19">
        <w:r>
          <w:rPr>
            <w:rStyle w:val="Hyperlink"/>
            <w:i/>
            <w:iCs/>
          </w:rPr>
          <w:t xml:space="preserve">7.7.1</w:t>
        </w:r>
      </w:hyperlink>
    </w:p>
    <w:p>
      <w:pPr>
        <w:pStyle w:val="BodyText"/>
      </w:pPr>
      <w:r>
        <w:t xml:space="preserve">&gt;</w:t>
      </w:r>
      <w:r>
        <w:t xml:space="preserve"> </w:t>
      </w:r>
      <w:r>
        <w:rPr>
          <w:b/>
          <w:bCs/>
        </w:rPr>
        <w:t xml:space="preserve">Rationale — Why cap temporary responsibilities</w:t>
      </w:r>
      <w:r>
        <w:t xml:space="preserve"> </w:t>
      </w:r>
      <w:r>
        <w:t xml:space="preserve">&gt;</w:t>
      </w:r>
      <w:r>
        <w:t xml:space="preserve"> </w:t>
      </w:r>
      <w:r>
        <w:t xml:space="preserve">&gt; Ad-hoc tasks quietly calcify into permanent unpaid jobs — usually on whoever said yes once. A hard time-box and a forced review make the difference between</w:t>
      </w:r>
      <w:r>
        <w:t xml:space="preserve"> </w:t>
      </w:r>
      <w:r>
        <w:t xml:space="preserve">“I covered for a week”</w:t>
      </w:r>
      <w:r>
        <w:t xml:space="preserve"> </w:t>
      </w:r>
      <w:r>
        <w:t xml:space="preserve">and</w:t>
      </w:r>
      <w:r>
        <w:t xml:space="preserve"> </w:t>
      </w:r>
      <w:r>
        <w:t xml:space="preserve">“apparently this is my role now.”</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State that any temporary responsibility must be time-bounded at assignment, documented, reviewed before expiry, and either formalised or terminated.</w:t>
      </w:r>
    </w:p>
    <w:p>
      <w:pPr>
        <w:pStyle w:val="BodyText"/>
      </w:pPr>
      <w:r>
        <w:t xml:space="preserve">When a task or responsibility is assigned temporarily, it must be:</w:t>
      </w:r>
    </w:p>
    <w:p>
      <w:pPr>
        <w:pStyle w:val="Compact"/>
        <w:numPr>
          <w:ilvl w:val="0"/>
          <w:numId w:val="1003"/>
        </w:numPr>
      </w:pPr>
      <w:r>
        <w:rPr>
          <w:i/>
          <w:iCs/>
        </w:rPr>
        <w:t xml:space="preserve">&lt;Explicitly time-bounded from the outset (specific end date or completion condition).&gt;</w:t>
      </w:r>
    </w:p>
    <w:p>
      <w:pPr>
        <w:pStyle w:val="Compact"/>
        <w:numPr>
          <w:ilvl w:val="0"/>
          <w:numId w:val="1003"/>
        </w:numPr>
      </w:pPr>
      <w:r>
        <w:rPr>
          <w:i/>
          <w:iCs/>
        </w:rPr>
        <w:t xml:space="preserve">&lt;Documented as temporary at the time of assignment.&gt;</w:t>
      </w:r>
    </w:p>
    <w:p>
      <w:pPr>
        <w:pStyle w:val="Compact"/>
        <w:numPr>
          <w:ilvl w:val="0"/>
          <w:numId w:val="1003"/>
        </w:numPr>
      </w:pPr>
      <w:r>
        <w:rPr>
          <w:i/>
          <w:iCs/>
        </w:rPr>
        <w:t xml:space="preserve">&lt;Reviewed before the end date; converted to a formal role or terminated.&gt;</w:t>
      </w:r>
    </w:p>
    <w:p>
      <w:pPr>
        <w:pStyle w:val="FirstParagraph"/>
      </w:pPr>
      <w:r>
        <w:rPr>
          <w:i/>
          <w:iCs/>
        </w:rPr>
        <w:t xml:space="preserve">&lt;Maximum duration of any temporary responsibility before it must be formally assigned or terminated — e.g. 90 days.&gt;</w:t>
      </w:r>
      <w:r>
        <w:t xml:space="preserve"> </w:t>
      </w:r>
      <w:r>
        <w:t xml:space="preserve">If a temporary responsibility has no owner after its end date, it lapses; it does not transfer implicitly.</w:t>
      </w:r>
    </w:p>
    <w:p>
      <w:r>
        <w:pict>
          <v:rect style="width:0;height:1.5pt" o:hralign="center" o:hrstd="t" o:hr="t"/>
        </w:pict>
      </w:r>
    </w:p>
    <w:bookmarkEnd w:id="21"/>
    <w:bookmarkStart w:id="22" w:name="role-and-domain-interfaces"/>
    <w:p>
      <w:pPr>
        <w:pStyle w:val="Heading2"/>
      </w:pPr>
      <w:r>
        <w:t xml:space="preserve">Role and Domain Interfaces</w:t>
      </w:r>
    </w:p>
    <w:p>
      <w:pPr>
        <w:pStyle w:val="FirstParagraph"/>
      </w:pPr>
      <w:r>
        <w:rPr>
          <w:i/>
          <w:iCs/>
        </w:rPr>
        <w:t xml:space="preserve">RCOS clauses:</w:t>
      </w:r>
      <w:r>
        <w:rPr>
          <w:i/>
          <w:iCs/>
        </w:rPr>
        <w:t xml:space="preserve"> </w:t>
      </w:r>
      <w:hyperlink r:id="rId18">
        <w:r>
          <w:rPr>
            <w:rStyle w:val="Hyperlink"/>
            <w:i/>
            <w:iCs/>
          </w:rPr>
          <w:t xml:space="preserve">7.6.3</w:t>
        </w:r>
      </w:hyperlink>
      <w:r>
        <w:rPr>
          <w:i/>
          <w:iCs/>
        </w:rPr>
        <w:t xml:space="preserve">,</w:t>
      </w:r>
      <w:r>
        <w:rPr>
          <w:i/>
          <w:iCs/>
        </w:rPr>
        <w:t xml:space="preserve"> </w:t>
      </w:r>
      <w:hyperlink r:id="rId15">
        <w:r>
          <w:rPr>
            <w:rStyle w:val="Hyperlink"/>
            <w:i/>
            <w:iCs/>
          </w:rPr>
          <w:t xml:space="preserve">7.3.4</w:t>
        </w:r>
      </w:hyperlink>
    </w:p>
    <w:p>
      <w:pPr>
        <w:pStyle w:val="BodyText"/>
      </w:pPr>
      <w:r>
        <w:t xml:space="preserve">&gt;</w:t>
      </w:r>
      <w:r>
        <w:t xml:space="preserve"> </w:t>
      </w:r>
      <w:r>
        <w:rPr>
          <w:b/>
          <w:bCs/>
        </w:rPr>
        <w:t xml:space="preserve">Rationale — Why map handoffs explicitly</w:t>
      </w:r>
      <w:r>
        <w:t xml:space="preserve"> </w:t>
      </w:r>
      <w:r>
        <w:t xml:space="preserve">&gt;</w:t>
      </w:r>
      <w:r>
        <w:t xml:space="preserve"> </w:t>
      </w:r>
      <w:r>
        <w:t xml:space="preserve">&gt; Most operational failures happen not inside a role but between roles — at the boundaries where work moves from one owner to the next. Naming the handoffs turns invisible dependencies into reviewable ones, and prevents</w:t>
      </w:r>
      <w:r>
        <w:t xml:space="preserve"> </w:t>
      </w:r>
      <w:r>
        <w:t xml:space="preserve">“I thought you had it”</w:t>
      </w:r>
      <w:r>
        <w:t xml:space="preserve"> </w:t>
      </w:r>
      <w:r>
        <w:t xml:space="preserve">failures.</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For each pair of roles that pass work to each other, name the handoff and the type of work transferred.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From</w:t>
            </w:r>
          </w:p>
        </w:tc>
        <w:tc>
          <w:tcPr/>
          <w:p>
            <w:pPr>
              <w:pStyle w:val="Compact"/>
            </w:pPr>
            <w:r>
              <w:t xml:space="preserve">To</w:t>
            </w:r>
          </w:p>
        </w:tc>
        <w:tc>
          <w:tcPr/>
          <w:p>
            <w:pPr>
              <w:pStyle w:val="Compact"/>
            </w:pPr>
            <w:r>
              <w:t xml:space="preserve">Handoff</w:t>
            </w:r>
          </w:p>
        </w:tc>
      </w:tr>
      <w:tr>
        <w:tc>
          <w:tcPr/>
          <w:p>
            <w:pPr>
              <w:pStyle w:val="Compact"/>
            </w:pPr>
            <w:r>
              <w:rPr>
                <w:i/>
                <w:iCs/>
              </w:rPr>
              <w:t xml:space="preserve">&lt;role&gt;</w:t>
            </w:r>
          </w:p>
        </w:tc>
        <w:tc>
          <w:tcPr/>
          <w:p>
            <w:pPr>
              <w:pStyle w:val="Compact"/>
            </w:pPr>
            <w:r>
              <w:rPr>
                <w:i/>
                <w:iCs/>
              </w:rPr>
              <w:t xml:space="preserve">&lt;role&gt;</w:t>
            </w:r>
          </w:p>
        </w:tc>
        <w:tc>
          <w:tcPr/>
          <w:p>
            <w:pPr>
              <w:pStyle w:val="Compact"/>
            </w:pPr>
            <w:r>
              <w:rPr>
                <w:i/>
                <w:iCs/>
              </w:rPr>
              <w:t xml:space="preserve">&lt;what is handed off&gt;</w:t>
            </w:r>
          </w:p>
        </w:tc>
      </w:tr>
      <w:tr>
        <w:tc>
          <w:tcPr/>
          <w:p>
            <w:pPr>
              <w:pStyle w:val="Compact"/>
            </w:pPr>
            <w:r>
              <w:rPr>
                <w:i/>
                <w:iCs/>
              </w:rPr>
              <w:t xml:space="preserve">&lt;role&gt;</w:t>
            </w:r>
          </w:p>
        </w:tc>
        <w:tc>
          <w:tcPr/>
          <w:p>
            <w:pPr>
              <w:pStyle w:val="Compact"/>
            </w:pPr>
            <w:r>
              <w:rPr>
                <w:i/>
                <w:iCs/>
              </w:rPr>
              <w:t xml:space="preserve">&lt;role&gt;</w:t>
            </w:r>
          </w:p>
        </w:tc>
        <w:tc>
          <w:tcPr/>
          <w:p>
            <w:pPr>
              <w:pStyle w:val="Compact"/>
            </w:pPr>
            <w:r>
              <w:rPr>
                <w:i/>
                <w:iCs/>
              </w:rPr>
              <w:t xml:space="preserve">&lt;…&gt;</w:t>
            </w:r>
          </w:p>
        </w:tc>
      </w:tr>
    </w:tbl>
    <w:bookmarkEnd w:id="22"/>
    <w:bookmarkStart w:id="23" w:name="workload-boundaries"/>
    <w:p>
      <w:pPr>
        <w:pStyle w:val="Heading2"/>
      </w:pPr>
      <w:r>
        <w:t xml:space="preserve">Workload Boundaries</w:t>
      </w:r>
    </w:p>
    <w:p>
      <w:pPr>
        <w:pStyle w:val="FirstParagraph"/>
      </w:pPr>
      <w:r>
        <w:rPr>
          <w:i/>
          <w:iCs/>
        </w:rPr>
        <w:t xml:space="preserve">RCOS clauses:</w:t>
      </w:r>
      <w:r>
        <w:rPr>
          <w:i/>
          <w:iCs/>
        </w:rPr>
        <w:t xml:space="preserve"> </w:t>
      </w:r>
      <w:hyperlink r:id="rId16">
        <w:r>
          <w:rPr>
            <w:rStyle w:val="Hyperlink"/>
            <w:i/>
            <w:iCs/>
          </w:rPr>
          <w:t xml:space="preserve">7.4.1</w:t>
        </w:r>
      </w:hyperlink>
      <w:r>
        <w:rPr>
          <w:i/>
          <w:iCs/>
        </w:rPr>
        <w:t xml:space="preserve">,</w:t>
      </w:r>
      <w:r>
        <w:rPr>
          <w:i/>
          <w:iCs/>
        </w:rPr>
        <w:t xml:space="preserve"> </w:t>
      </w:r>
      <w:hyperlink r:id="rId16">
        <w:r>
          <w:rPr>
            <w:rStyle w:val="Hyperlink"/>
            <w:i/>
            <w:iCs/>
          </w:rPr>
          <w:t xml:space="preserve">7.4.2</w:t>
        </w:r>
      </w:hyperlink>
      <w:r>
        <w:rPr>
          <w:i/>
          <w:iCs/>
        </w:rPr>
        <w:t xml:space="preserve">,</w:t>
      </w:r>
      <w:r>
        <w:rPr>
          <w:i/>
          <w:iCs/>
        </w:rPr>
        <w:t xml:space="preserve"> </w:t>
      </w:r>
      <w:hyperlink r:id="rId16">
        <w:r>
          <w:rPr>
            <w:rStyle w:val="Hyperlink"/>
            <w:i/>
            <w:iCs/>
          </w:rPr>
          <w:t xml:space="preserve">7.4.3</w:t>
        </w:r>
      </w:hyperlink>
      <w:r>
        <w:rPr>
          <w:i/>
          <w:iCs/>
        </w:rPr>
        <w:t xml:space="preserve">,</w:t>
      </w:r>
      <w:r>
        <w:rPr>
          <w:i/>
          <w:iCs/>
        </w:rPr>
        <w:t xml:space="preserve"> </w:t>
      </w:r>
      <w:hyperlink r:id="rId16">
        <w:r>
          <w:rPr>
            <w:rStyle w:val="Hyperlink"/>
            <w:i/>
            <w:iCs/>
          </w:rPr>
          <w:t xml:space="preserve">7.4.4</w:t>
        </w:r>
      </w:hyperlink>
      <w:r>
        <w:rPr>
          <w:i/>
          <w:iCs/>
        </w:rPr>
        <w:t xml:space="preserve">,</w:t>
      </w:r>
      <w:r>
        <w:rPr>
          <w:i/>
          <w:iCs/>
        </w:rPr>
        <w:t xml:space="preserve"> </w:t>
      </w:r>
      <w:hyperlink r:id="rId19">
        <w:r>
          <w:rPr>
            <w:rStyle w:val="Hyperlink"/>
            <w:i/>
            <w:iCs/>
          </w:rPr>
          <w:t xml:space="preserve">7.7.3</w:t>
        </w:r>
      </w:hyperlink>
    </w:p>
    <w:p>
      <w:pPr>
        <w:pStyle w:val="BodyText"/>
      </w:pPr>
      <w:r>
        <w:t xml:space="preserve">&gt;</w:t>
      </w:r>
      <w:r>
        <w:t xml:space="preserve"> </w:t>
      </w:r>
      <w:r>
        <w:rPr>
          <w:b/>
          <w:bCs/>
        </w:rPr>
        <w:t xml:space="preserve">Rationale — Why make workload limits explicit</w:t>
      </w:r>
      <w:r>
        <w:t xml:space="preserve"> </w:t>
      </w:r>
      <w:r>
        <w:t xml:space="preserve">&gt;</w:t>
      </w:r>
      <w:r>
        <w:t xml:space="preserve"> </w:t>
      </w:r>
      <w:r>
        <w:t xml:space="preserve">&gt; Unbounded coordination load is the default failure mode of volunteer communities — it quietly burns out the most committed members until they leave. Explicit, reviewable limits make capacity a shared concern rather than a private burden.</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Set bounds on meeting load, role load, response-time expectations, and the path for renegotiating responsibilities.</w:t>
      </w:r>
    </w:p>
    <w:p>
      <w:pPr>
        <w:pStyle w:val="Compact"/>
        <w:numPr>
          <w:ilvl w:val="0"/>
          <w:numId w:val="1004"/>
        </w:numPr>
      </w:pPr>
      <w:r>
        <w:rPr>
          <w:b/>
          <w:bCs/>
        </w:rPr>
        <w:t xml:space="preserve">Meeting load:</w:t>
      </w:r>
      <w:r>
        <w:t xml:space="preserve"> </w:t>
      </w:r>
      <w:r>
        <w:rPr>
          <w:i/>
          <w:iCs/>
        </w:rPr>
        <w:t xml:space="preserve">&lt;recurring meeting cadence and maximum duration; rules for extraordinary meetings.&gt;</w:t>
      </w:r>
    </w:p>
    <w:p>
      <w:pPr>
        <w:pStyle w:val="Compact"/>
        <w:numPr>
          <w:ilvl w:val="0"/>
          <w:numId w:val="1004"/>
        </w:numPr>
      </w:pPr>
      <w:r>
        <w:rPr>
          <w:b/>
          <w:bCs/>
        </w:rPr>
        <w:t xml:space="preserve">Role load:</w:t>
      </w:r>
      <w:r>
        <w:t xml:space="preserve"> </w:t>
      </w:r>
      <w:r>
        <w:rPr>
          <w:i/>
          <w:iCs/>
        </w:rPr>
        <w:t xml:space="preserve">&lt;cap if any; rule for flagging overload; resolution window.&gt;</w:t>
      </w:r>
    </w:p>
    <w:p>
      <w:pPr>
        <w:pStyle w:val="Compact"/>
        <w:numPr>
          <w:ilvl w:val="0"/>
          <w:numId w:val="1004"/>
        </w:numPr>
      </w:pPr>
      <w:r>
        <w:rPr>
          <w:b/>
          <w:bCs/>
        </w:rPr>
        <w:t xml:space="preserve">Response time expectations:</w:t>
      </w:r>
      <w:r>
        <w:t xml:space="preserve"> </w:t>
      </w:r>
      <w:r>
        <w:rPr>
          <w:i/>
          <w:iCs/>
        </w:rPr>
        <w:t xml:space="preserve">&lt;non-urgent async; urgent operational; safety-critical.&gt;</w:t>
      </w:r>
    </w:p>
    <w:p>
      <w:pPr>
        <w:pStyle w:val="Compact"/>
        <w:numPr>
          <w:ilvl w:val="0"/>
          <w:numId w:val="1004"/>
        </w:numPr>
      </w:pPr>
      <w:r>
        <w:rPr>
          <w:b/>
          <w:bCs/>
        </w:rPr>
        <w:t xml:space="preserve">Renegotiation and relief:</w:t>
      </w:r>
      <w:r>
        <w:t xml:space="preserve"> </w:t>
      </w:r>
      <w:r>
        <w:rPr>
          <w:i/>
          <w:iCs/>
        </w:rPr>
        <w:t xml:space="preserve">&lt;process for redistributing responsibilities; resolution window.&gt;</w:t>
      </w:r>
    </w:p>
    <w:p>
      <w:pPr>
        <w:pStyle w:val="Compact"/>
        <w:numPr>
          <w:ilvl w:val="0"/>
          <w:numId w:val="1004"/>
        </w:numPr>
      </w:pPr>
      <w:r>
        <w:rPr>
          <w:b/>
          <w:bCs/>
        </w:rPr>
        <w:t xml:space="preserve">Persistent overload:</w:t>
      </w:r>
      <w:r>
        <w:t xml:space="preserve"> </w:t>
      </w:r>
      <w:r>
        <w:rPr>
          <w:i/>
          <w:iCs/>
        </w:rPr>
        <w:t xml:space="preserve">&lt;how persistent overload, burnout risk, chronic non-participation, or dependency on over-functioning individuals is detected, and how it is routed into the Layer 4 review or repair process.&gt;</w:t>
      </w:r>
    </w:p>
    <w:bookmarkEnd w:id="23"/>
    <w:bookmarkStart w:id="24" w:name="operational-continuity"/>
    <w:p>
      <w:pPr>
        <w:pStyle w:val="Heading2"/>
      </w:pPr>
      <w:r>
        <w:t xml:space="preserve">Operational Continuity</w:t>
      </w:r>
    </w:p>
    <w:p>
      <w:pPr>
        <w:pStyle w:val="FirstParagraph"/>
      </w:pPr>
      <w:r>
        <w:rPr>
          <w:i/>
          <w:iCs/>
        </w:rPr>
        <w:t xml:space="preserve">RCOS clauses:</w:t>
      </w:r>
      <w:r>
        <w:rPr>
          <w:i/>
          <w:iCs/>
        </w:rPr>
        <w:t xml:space="preserve"> </w:t>
      </w:r>
      <w:hyperlink r:id="rId17">
        <w:r>
          <w:rPr>
            <w:rStyle w:val="Hyperlink"/>
            <w:i/>
            <w:iCs/>
          </w:rPr>
          <w:t xml:space="preserve">7.5.1</w:t>
        </w:r>
      </w:hyperlink>
      <w:r>
        <w:rPr>
          <w:i/>
          <w:iCs/>
        </w:rPr>
        <w:t xml:space="preserve">,</w:t>
      </w:r>
      <w:r>
        <w:rPr>
          <w:i/>
          <w:iCs/>
        </w:rPr>
        <w:t xml:space="preserve"> </w:t>
      </w:r>
      <w:hyperlink r:id="rId17">
        <w:r>
          <w:rPr>
            <w:rStyle w:val="Hyperlink"/>
            <w:i/>
            <w:iCs/>
          </w:rPr>
          <w:t xml:space="preserve">7.5.2</w:t>
        </w:r>
      </w:hyperlink>
      <w:r>
        <w:rPr>
          <w:i/>
          <w:iCs/>
        </w:rPr>
        <w:t xml:space="preserve">,</w:t>
      </w:r>
      <w:r>
        <w:rPr>
          <w:i/>
          <w:iCs/>
        </w:rPr>
        <w:t xml:space="preserve"> </w:t>
      </w:r>
      <w:hyperlink r:id="rId17">
        <w:r>
          <w:rPr>
            <w:rStyle w:val="Hyperlink"/>
            <w:i/>
            <w:iCs/>
          </w:rPr>
          <w:t xml:space="preserve">7.5.3</w:t>
        </w:r>
      </w:hyperlink>
    </w:p>
    <w:p>
      <w:pPr>
        <w:pStyle w:val="BodyText"/>
      </w:pPr>
      <w:r>
        <w:t xml:space="preserve">&gt;</w:t>
      </w:r>
      <w:r>
        <w:t xml:space="preserve"> </w:t>
      </w:r>
      <w:r>
        <w:rPr>
          <w:b/>
          <w:bCs/>
        </w:rPr>
        <w:t xml:space="preserve">Rationale — Why plan for continuity now</w:t>
      </w:r>
      <w:r>
        <w:t xml:space="preserve"> </w:t>
      </w:r>
      <w:r>
        <w:t xml:space="preserve">&gt;</w:t>
      </w:r>
      <w:r>
        <w:t xml:space="preserve"> </w:t>
      </w:r>
      <w:r>
        <w:t xml:space="preserve">&gt; A community that depends on one irreplaceable person is one illness, one conflict, or one exit away from collapse. Naming the single points of failure — honestly — and building handover into every role is what keeps the community surviving its founders.</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Name current single points of failure honestly. State the handover requirement for each role and the cadence of continuity review.</w:t>
      </w:r>
    </w:p>
    <w:p>
      <w:pPr>
        <w:pStyle w:val="Compact"/>
        <w:numPr>
          <w:ilvl w:val="0"/>
          <w:numId w:val="1005"/>
        </w:numPr>
      </w:pPr>
      <w:r>
        <w:rPr>
          <w:b/>
          <w:bCs/>
        </w:rPr>
        <w:t xml:space="preserve">Current state:</w:t>
      </w:r>
      <w:r>
        <w:t xml:space="preserve"> </w:t>
      </w:r>
      <w:r>
        <w:rPr>
          <w:i/>
          <w:iCs/>
        </w:rPr>
        <w:t xml:space="preserve">&lt;honest list of single points of failure; recruitment plan to reduce concentration.&gt;</w:t>
      </w:r>
    </w:p>
    <w:p>
      <w:pPr>
        <w:pStyle w:val="Compact"/>
        <w:numPr>
          <w:ilvl w:val="0"/>
          <w:numId w:val="1005"/>
        </w:numPr>
      </w:pPr>
      <w:r>
        <w:rPr>
          <w:b/>
          <w:bCs/>
        </w:rPr>
        <w:t xml:space="preserve">Handover mechanisms:</w:t>
      </w:r>
      <w:r>
        <w:t xml:space="preserve"> </w:t>
      </w:r>
      <w:r>
        <w:rPr>
          <w:i/>
          <w:iCs/>
        </w:rPr>
        <w:t xml:space="preserve">&lt;reference handover requirements per role in the Role Registry; handover must be completed before a role is vacated.&gt;</w:t>
      </w:r>
    </w:p>
    <w:p>
      <w:pPr>
        <w:pStyle w:val="Compact"/>
        <w:numPr>
          <w:ilvl w:val="0"/>
          <w:numId w:val="1005"/>
        </w:numPr>
      </w:pPr>
      <w:r>
        <w:rPr>
          <w:b/>
          <w:bCs/>
        </w:rPr>
        <w:t xml:space="preserve">Continuity review cadence:</w:t>
      </w:r>
      <w:r>
        <w:t xml:space="preserve"> </w:t>
      </w:r>
      <w:r>
        <w:rPr>
          <w:i/>
          <w:iCs/>
        </w:rPr>
        <w:t xml:space="preserve">&lt;quarterly; ad hoc on role change.&gt;</w:t>
      </w:r>
    </w:p>
    <w:bookmarkEnd w:id="24"/>
    <w:bookmarkStart w:id="25" w:name="information-flow-and-anti-gatekeeping"/>
    <w:p>
      <w:pPr>
        <w:pStyle w:val="Heading2"/>
      </w:pPr>
      <w:r>
        <w:t xml:space="preserve">Information Flow and Anti-Gatekeeping</w:t>
      </w:r>
    </w:p>
    <w:p>
      <w:pPr>
        <w:pStyle w:val="FirstParagraph"/>
      </w:pPr>
      <w:r>
        <w:rPr>
          <w:i/>
          <w:iCs/>
        </w:rPr>
        <w:t xml:space="preserve">RCOS clauses:</w:t>
      </w:r>
      <w:r>
        <w:rPr>
          <w:i/>
          <w:iCs/>
        </w:rPr>
        <w:t xml:space="preserve"> </w:t>
      </w:r>
      <w:hyperlink r:id="rId15">
        <w:r>
          <w:rPr>
            <w:rStyle w:val="Hyperlink"/>
            <w:i/>
            <w:iCs/>
          </w:rPr>
          <w:t xml:space="preserve">7.3.5</w:t>
        </w:r>
      </w:hyperlink>
      <w:r>
        <w:rPr>
          <w:i/>
          <w:iCs/>
        </w:rPr>
        <w:t xml:space="preserve">,</w:t>
      </w:r>
      <w:r>
        <w:rPr>
          <w:i/>
          <w:iCs/>
        </w:rPr>
        <w:t xml:space="preserve"> </w:t>
      </w:r>
      <w:hyperlink r:id="rId19">
        <w:r>
          <w:rPr>
            <w:rStyle w:val="Hyperlink"/>
            <w:i/>
            <w:iCs/>
          </w:rPr>
          <w:t xml:space="preserve">7.7.4</w:t>
        </w:r>
      </w:hyperlink>
      <w:r>
        <w:rPr>
          <w:i/>
          <w:iCs/>
        </w:rPr>
        <w:t xml:space="preserve">,</w:t>
      </w:r>
      <w:r>
        <w:rPr>
          <w:i/>
          <w:iCs/>
        </w:rPr>
        <w:t xml:space="preserve"> </w:t>
      </w:r>
      <w:hyperlink r:id="rId15">
        <w:r>
          <w:rPr>
            <w:rStyle w:val="Hyperlink"/>
            <w:i/>
            <w:iCs/>
          </w:rPr>
          <w:t xml:space="preserve">7.3.2</w:t>
        </w:r>
      </w:hyperlink>
    </w:p>
    <w:p>
      <w:pPr>
        <w:pStyle w:val="BodyText"/>
      </w:pPr>
      <w:r>
        <w:t xml:space="preserve">&gt;</w:t>
      </w:r>
      <w:r>
        <w:t xml:space="preserve"> </w:t>
      </w:r>
      <w:r>
        <w:rPr>
          <w:b/>
          <w:bCs/>
        </w:rPr>
        <w:t xml:space="preserve">Rationale — Why treat information access as a governance issue</w:t>
      </w:r>
      <w:r>
        <w:t xml:space="preserve"> </w:t>
      </w:r>
      <w:r>
        <w:t xml:space="preserve">&gt;</w:t>
      </w:r>
      <w:r>
        <w:t xml:space="preserve"> </w:t>
      </w:r>
      <w:r>
        <w:t xml:space="preserve">&gt; Whoever controls access to information controls the community, whether they mean to or not. Making access rules explicit — and disallowing sole points of access — is what prevents informal gatekeepers from accumulating the kind of power the governance system is supposed to check.</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State which records are open to all Full Members, the response window for information requests, and the rule against sole points of access for governance-relevant information.</w:t>
      </w:r>
    </w:p>
    <w:p>
      <w:pPr>
        <w:pStyle w:val="Compact"/>
        <w:numPr>
          <w:ilvl w:val="0"/>
          <w:numId w:val="1006"/>
        </w:numPr>
      </w:pPr>
      <w:r>
        <w:rPr>
          <w:i/>
          <w:iCs/>
        </w:rPr>
        <w:t xml:space="preserve">&lt;Governance decisions accessible to all Full Members.&gt;</w:t>
      </w:r>
    </w:p>
    <w:p>
      <w:pPr>
        <w:pStyle w:val="Compact"/>
        <w:numPr>
          <w:ilvl w:val="0"/>
          <w:numId w:val="1006"/>
        </w:numPr>
      </w:pPr>
      <w:r>
        <w:rPr>
          <w:i/>
          <w:iCs/>
        </w:rPr>
        <w:t xml:space="preserve">&lt;Meeting notes published within X hours.&gt;</w:t>
      </w:r>
    </w:p>
    <w:p>
      <w:pPr>
        <w:pStyle w:val="Compact"/>
        <w:numPr>
          <w:ilvl w:val="0"/>
          <w:numId w:val="1006"/>
        </w:numPr>
      </w:pPr>
      <w:r>
        <w:rPr>
          <w:i/>
          <w:iCs/>
        </w:rPr>
        <w:t xml:space="preserve">&lt;Membership state and role assignments accessible.&gt;</w:t>
      </w:r>
    </w:p>
    <w:p>
      <w:pPr>
        <w:pStyle w:val="Compact"/>
        <w:numPr>
          <w:ilvl w:val="0"/>
          <w:numId w:val="1006"/>
        </w:numPr>
      </w:pPr>
      <w:r>
        <w:rPr>
          <w:i/>
          <w:iCs/>
        </w:rPr>
        <w:t xml:space="preserve">&lt;Contribution records accessible.&gt;</w:t>
      </w:r>
    </w:p>
    <w:p>
      <w:pPr>
        <w:pStyle w:val="Compact"/>
        <w:numPr>
          <w:ilvl w:val="0"/>
          <w:numId w:val="1006"/>
        </w:numPr>
      </w:pPr>
      <w:r>
        <w:rPr>
          <w:i/>
          <w:iCs/>
        </w:rPr>
        <w:t xml:space="preserve">&lt;Information request response window.&gt;</w:t>
      </w:r>
    </w:p>
    <w:p>
      <w:pPr>
        <w:pStyle w:val="Compact"/>
        <w:numPr>
          <w:ilvl w:val="0"/>
          <w:numId w:val="1006"/>
        </w:numPr>
      </w:pPr>
      <w:r>
        <w:rPr>
          <w:i/>
          <w:iCs/>
        </w:rPr>
        <w:t xml:space="preserve">&lt;Withholding access to information members are entitled to is an accountability trigger under Layer 4.&gt;</w:t>
      </w:r>
    </w:p>
    <w:p>
      <w:pPr>
        <w:pStyle w:val="Compact"/>
        <w:numPr>
          <w:ilvl w:val="0"/>
          <w:numId w:val="1006"/>
        </w:numPr>
      </w:pPr>
      <w:r>
        <w:rPr>
          <w:i/>
          <w:iCs/>
        </w:rPr>
        <w:t xml:space="preserve">&lt;No role or individual may be the sole point of access for information required by other role holders.&gt;</w:t>
      </w:r>
    </w:p>
    <w:p>
      <w:r>
        <w:pict>
          <v:rect style="width:0;height:1.5pt" o:hralign="center" o:hrstd="t" o:hr="t"/>
        </w:pict>
      </w:r>
    </w:p>
    <w:bookmarkEnd w:id="25"/>
    <w:bookmarkStart w:id="27" w:name="Xbcea9955e29161af1f8c603d96e24f872fdf64a"/>
    <w:p>
      <w:pPr>
        <w:pStyle w:val="Heading2"/>
      </w:pPr>
      <w:r>
        <w:t xml:space="preserve">Documentation Locations and Update Procedures</w:t>
      </w:r>
    </w:p>
    <w:p>
      <w:pPr>
        <w:pStyle w:val="FirstParagraph"/>
      </w:pPr>
      <w:r>
        <w:rPr>
          <w:i/>
          <w:iCs/>
        </w:rPr>
        <w:t xml:space="preserve">RCOS clauses:</w:t>
      </w:r>
      <w:r>
        <w:rPr>
          <w:i/>
          <w:iCs/>
        </w:rPr>
        <w:t xml:space="preserve"> </w:t>
      </w:r>
      <w:hyperlink r:id="rId15">
        <w:r>
          <w:rPr>
            <w:rStyle w:val="Hyperlink"/>
            <w:i/>
            <w:iCs/>
          </w:rPr>
          <w:t xml:space="preserve">7.3.1</w:t>
        </w:r>
      </w:hyperlink>
      <w:r>
        <w:rPr>
          <w:i/>
          <w:iCs/>
        </w:rPr>
        <w:t xml:space="preserve">,</w:t>
      </w:r>
      <w:r>
        <w:rPr>
          <w:i/>
          <w:iCs/>
        </w:rPr>
        <w:t xml:space="preserve"> </w:t>
      </w:r>
      <w:hyperlink r:id="rId15">
        <w:r>
          <w:rPr>
            <w:rStyle w:val="Hyperlink"/>
            <w:i/>
            <w:iCs/>
          </w:rPr>
          <w:t xml:space="preserve">7.3.2</w:t>
        </w:r>
      </w:hyperlink>
      <w:r>
        <w:rPr>
          <w:i/>
          <w:iCs/>
        </w:rPr>
        <w:t xml:space="preserve">,</w:t>
      </w:r>
      <w:r>
        <w:rPr>
          <w:i/>
          <w:iCs/>
        </w:rPr>
        <w:t xml:space="preserve"> </w:t>
      </w:r>
      <w:hyperlink r:id="rId15">
        <w:r>
          <w:rPr>
            <w:rStyle w:val="Hyperlink"/>
            <w:i/>
            <w:iCs/>
          </w:rPr>
          <w:t xml:space="preserve">7.3.3</w:t>
        </w:r>
      </w:hyperlink>
      <w:r>
        <w:rPr>
          <w:i/>
          <w:iCs/>
        </w:rPr>
        <w:t xml:space="preserve">,</w:t>
      </w:r>
      <w:r>
        <w:rPr>
          <w:i/>
          <w:iCs/>
        </w:rPr>
        <w:t xml:space="preserve"> </w:t>
      </w:r>
      <w:hyperlink r:id="rId26">
        <w:r>
          <w:rPr>
            <w:rStyle w:val="Hyperlink"/>
            <w:i/>
            <w:iCs/>
          </w:rPr>
          <w:t xml:space="preserve">7.8.1</w:t>
        </w:r>
      </w:hyperlink>
    </w:p>
    <w:p>
      <w:pPr>
        <w:pStyle w:val="BodyText"/>
      </w:pPr>
      <w:r>
        <w:t xml:space="preserve">&gt;</w:t>
      </w:r>
      <w:r>
        <w:t xml:space="preserve"> </w:t>
      </w:r>
      <w:r>
        <w:rPr>
          <w:b/>
          <w:bCs/>
        </w:rPr>
        <w:t xml:space="preserve">Rationale — Why name where every document lives</w:t>
      </w:r>
      <w:r>
        <w:t xml:space="preserve"> </w:t>
      </w:r>
      <w:r>
        <w:t xml:space="preserve">&gt;</w:t>
      </w:r>
      <w:r>
        <w:t xml:space="preserve"> </w:t>
      </w:r>
      <w:r>
        <w:t xml:space="preserve">&gt; If no one can say where the canonical version of something lives, there is no canonical version. Naming the location, owner, and review cadence for each document type is what makes the community’s memory auditable rather than folkloric.</w:t>
      </w:r>
    </w:p>
    <w:p>
      <w:pPr>
        <w:pStyle w:val="BodyText"/>
      </w:pPr>
      <w:r>
        <w:t xml:space="preserve">&gt;</w:t>
      </w:r>
      <w:r>
        <w:t xml:space="preserve"> </w:t>
      </w:r>
      <w:r>
        <w:rPr>
          <w:b/>
          <w:bCs/>
        </w:rPr>
        <w:t xml:space="preserve">Instructions — How to fill this in</w:t>
      </w:r>
      <w:r>
        <w:t xml:space="preserve"> </w:t>
      </w:r>
      <w:r>
        <w:t xml:space="preserve">&gt;</w:t>
      </w:r>
      <w:r>
        <w:t xml:space="preserve"> </w:t>
      </w:r>
      <w:r>
        <w:t xml:space="preserve">&gt; For each document type, name the canonical location, the owner, and the review cadence.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Document type</w:t>
            </w:r>
          </w:p>
        </w:tc>
        <w:tc>
          <w:tcPr/>
          <w:p>
            <w:pPr>
              <w:pStyle w:val="Compact"/>
            </w:pPr>
            <w:r>
              <w:t xml:space="preserve">Location</w:t>
            </w:r>
          </w:p>
        </w:tc>
        <w:tc>
          <w:tcPr/>
          <w:p>
            <w:pPr>
              <w:pStyle w:val="Compact"/>
            </w:pPr>
            <w:r>
              <w:t xml:space="preserve">Owner</w:t>
            </w:r>
          </w:p>
        </w:tc>
        <w:tc>
          <w:tcPr/>
          <w:p>
            <w:pPr>
              <w:pStyle w:val="Compact"/>
            </w:pPr>
            <w:r>
              <w:t xml:space="preserve">Review cadence</w:t>
            </w:r>
          </w:p>
        </w:tc>
      </w:tr>
      <w:tr>
        <w:tc>
          <w:tcPr/>
          <w:p>
            <w:pPr>
              <w:pStyle w:val="Compact"/>
            </w:pPr>
            <w:r>
              <w:rPr>
                <w:i/>
                <w:iCs/>
              </w:rPr>
              <w:t xml:space="preserve">&lt;RCOS artifacts&gt;</w:t>
            </w:r>
          </w:p>
        </w:tc>
        <w:tc>
          <w:tcPr/>
          <w:p>
            <w:pPr>
              <w:pStyle w:val="Compact"/>
            </w:pPr>
            <w:r>
              <w:rPr>
                <w:i/>
                <w:iCs/>
              </w:rPr>
              <w:t xml:space="preserve">&lt;location&gt;</w:t>
            </w:r>
          </w:p>
        </w:tc>
        <w:tc>
          <w:tcPr/>
          <w:p>
            <w:pPr>
              <w:pStyle w:val="Compact"/>
            </w:pPr>
            <w:r>
              <w:rPr>
                <w:i/>
                <w:iCs/>
              </w:rPr>
              <w:t xml:space="preserve">&lt;owner&gt;</w:t>
            </w:r>
          </w:p>
        </w:tc>
        <w:tc>
          <w:tcPr/>
          <w:p>
            <w:pPr>
              <w:pStyle w:val="Compact"/>
            </w:pPr>
            <w:r>
              <w:rPr>
                <w:i/>
                <w:iCs/>
              </w:rPr>
              <w:t xml:space="preserve">&lt;cadence&gt;</w:t>
            </w:r>
          </w:p>
        </w:tc>
      </w:tr>
      <w:tr>
        <w:tc>
          <w:tcPr/>
          <w:p>
            <w:pPr>
              <w:pStyle w:val="Compact"/>
            </w:pPr>
            <w:r>
              <w:rPr>
                <w:i/>
                <w:iCs/>
              </w:rPr>
              <w:t xml:space="preserve">&lt;Member registry&gt;</w:t>
            </w:r>
          </w:p>
        </w:tc>
        <w:tc>
          <w:tcPr/>
          <w:p>
            <w:pPr>
              <w:pStyle w:val="Compact"/>
            </w:pPr>
            <w:r>
              <w:rPr>
                <w:i/>
                <w:iCs/>
              </w:rPr>
              <w:t xml:space="preserve">&lt;location&gt;</w:t>
            </w:r>
          </w:p>
        </w:tc>
        <w:tc>
          <w:tcPr/>
          <w:p>
            <w:pPr>
              <w:pStyle w:val="Compact"/>
            </w:pPr>
            <w:r>
              <w:rPr>
                <w:i/>
                <w:iCs/>
              </w:rPr>
              <w:t xml:space="preserve">&lt;owner&gt;</w:t>
            </w:r>
          </w:p>
        </w:tc>
        <w:tc>
          <w:tcPr/>
          <w:p>
            <w:pPr>
              <w:pStyle w:val="Compact"/>
            </w:pPr>
            <w:r>
              <w:rPr>
                <w:i/>
                <w:iCs/>
              </w:rPr>
              <w:t xml:space="preserve">&lt;cadence&gt;</w:t>
            </w:r>
          </w:p>
        </w:tc>
      </w:tr>
      <w:tr>
        <w:tc>
          <w:tcPr/>
          <w:p>
            <w:pPr>
              <w:pStyle w:val="Compact"/>
            </w:pPr>
            <w:r>
              <w:rPr>
                <w:i/>
                <w:iCs/>
              </w:rPr>
              <w:t xml:space="preserve">&lt;Meeting notes&gt;</w:t>
            </w:r>
          </w:p>
        </w:tc>
        <w:tc>
          <w:tcPr/>
          <w:p>
            <w:pPr>
              <w:pStyle w:val="Compact"/>
            </w:pPr>
            <w:r>
              <w:rPr>
                <w:i/>
                <w:iCs/>
              </w:rPr>
              <w:t xml:space="preserve">&lt;location&gt;</w:t>
            </w:r>
          </w:p>
        </w:tc>
        <w:tc>
          <w:tcPr/>
          <w:p>
            <w:pPr>
              <w:pStyle w:val="Compact"/>
            </w:pPr>
            <w:r>
              <w:rPr>
                <w:i/>
                <w:iCs/>
              </w:rPr>
              <w:t xml:space="preserve">&lt;owner&gt;</w:t>
            </w:r>
          </w:p>
        </w:tc>
        <w:tc>
          <w:tcPr/>
          <w:p>
            <w:pPr>
              <w:pStyle w:val="Compact"/>
            </w:pPr>
            <w:r>
              <w:rPr>
                <w:i/>
                <w:iCs/>
              </w:rPr>
              <w:t xml:space="preserve">&lt;cadence&gt;</w:t>
            </w:r>
          </w:p>
        </w:tc>
      </w:tr>
      <w:tr>
        <w:tc>
          <w:tcPr/>
          <w:p>
            <w:pPr>
              <w:pStyle w:val="Compact"/>
            </w:pPr>
            <w:r>
              <w:rPr>
                <w:i/>
                <w:iCs/>
              </w:rPr>
              <w:t xml:space="preserve">&lt;Governance proposals&gt;</w:t>
            </w:r>
          </w:p>
        </w:tc>
        <w:tc>
          <w:tcPr/>
          <w:p>
            <w:pPr>
              <w:pStyle w:val="Compact"/>
            </w:pPr>
            <w:r>
              <w:rPr>
                <w:i/>
                <w:iCs/>
              </w:rPr>
              <w:t xml:space="preserve">&lt;location&gt;</w:t>
            </w:r>
          </w:p>
        </w:tc>
        <w:tc>
          <w:tcPr/>
          <w:p>
            <w:pPr>
              <w:pStyle w:val="Compact"/>
            </w:pPr>
            <w:r>
              <w:rPr>
                <w:i/>
                <w:iCs/>
              </w:rPr>
              <w:t xml:space="preserve">&lt;owner&gt;</w:t>
            </w:r>
          </w:p>
        </w:tc>
        <w:tc>
          <w:tcPr/>
          <w:p>
            <w:pPr>
              <w:pStyle w:val="Compact"/>
            </w:pPr>
            <w:r>
              <w:rPr>
                <w:i/>
                <w:iCs/>
              </w:rPr>
              <w:t xml:space="preserve">&lt;cadence&gt;</w:t>
            </w:r>
          </w:p>
        </w:tc>
      </w:tr>
      <w:tr>
        <w:tc>
          <w:tcPr/>
          <w:p>
            <w:pPr>
              <w:pStyle w:val="Compact"/>
            </w:pPr>
            <w:r>
              <w:rPr>
                <w:i/>
                <w:iCs/>
              </w:rPr>
              <w:t xml:space="preserve">&lt;Contribution records&gt;</w:t>
            </w:r>
          </w:p>
        </w:tc>
        <w:tc>
          <w:tcPr/>
          <w:p>
            <w:pPr>
              <w:pStyle w:val="Compact"/>
            </w:pPr>
            <w:r>
              <w:rPr>
                <w:i/>
                <w:iCs/>
              </w:rPr>
              <w:t xml:space="preserve">&lt;location&gt;</w:t>
            </w:r>
          </w:p>
        </w:tc>
        <w:tc>
          <w:tcPr/>
          <w:p>
            <w:pPr>
              <w:pStyle w:val="Compact"/>
            </w:pPr>
            <w:r>
              <w:rPr>
                <w:i/>
                <w:iCs/>
              </w:rPr>
              <w:t xml:space="preserve">&lt;owner&gt;</w:t>
            </w:r>
          </w:p>
        </w:tc>
        <w:tc>
          <w:tcPr/>
          <w:p>
            <w:pPr>
              <w:pStyle w:val="Compact"/>
            </w:pPr>
            <w:r>
              <w:rPr>
                <w:i/>
                <w:iCs/>
              </w:rPr>
              <w:t xml:space="preserve">&lt;cadence&gt;</w:t>
            </w:r>
          </w:p>
        </w:tc>
      </w:tr>
    </w:tbl>
    <w:p>
      <w:r>
        <w:pict>
          <v:rect style="width:0;height:1.5pt" o:hralign="center" o:hrstd="t" o:hr="t"/>
        </w:pict>
      </w:r>
    </w:p>
    <w:bookmarkEnd w:id="27"/>
    <w:bookmarkStart w:id="28" w:name="ratification-record"/>
    <w:p>
      <w:pPr>
        <w:pStyle w:val="Heading2"/>
      </w:pPr>
      <w:r>
        <w:t xml:space="preserve">Ratification Record</w:t>
      </w:r>
    </w:p>
    <w:p>
      <w:pPr>
        <w:pStyle w:val="Compact"/>
        <w:numPr>
          <w:ilvl w:val="0"/>
          <w:numId w:val="1007"/>
        </w:numPr>
      </w:pPr>
      <w:r>
        <w:rPr>
          <w:b/>
          <w:bCs/>
        </w:rPr>
        <w:t xml:space="preserve">Adopted:</w:t>
      </w:r>
      <w:r>
        <w:t xml:space="preserve"> </w:t>
      </w:r>
      <w:r>
        <w:t xml:space="preserve">&lt;YYYY-MM-DD&gt;</w:t>
      </w:r>
    </w:p>
    <w:p>
      <w:pPr>
        <w:pStyle w:val="Compact"/>
        <w:numPr>
          <w:ilvl w:val="0"/>
          <w:numId w:val="1007"/>
        </w:numPr>
      </w:pPr>
      <w:r>
        <w:rPr>
          <w:b/>
          <w:bCs/>
        </w:rPr>
        <w:t xml:space="preserve">Decision type:</w:t>
      </w:r>
      <w:r>
        <w:t xml:space="preserve"> </w:t>
      </w:r>
      <w:r>
        <w:t xml:space="preserve">Strategic</w:t>
      </w:r>
    </w:p>
    <w:p>
      <w:pPr>
        <w:pStyle w:val="Compact"/>
        <w:numPr>
          <w:ilvl w:val="0"/>
          <w:numId w:val="1007"/>
        </w:numPr>
      </w:pPr>
      <w:r>
        <w:rPr>
          <w:b/>
          <w:bCs/>
        </w:rPr>
        <w:t xml:space="preserve">Version:</w:t>
      </w:r>
      <w:r>
        <w:t xml:space="preserve"> </w:t>
      </w:r>
      <w:r>
        <w:t xml:space="preserve">&lt;version&gt;</w:t>
      </w:r>
    </w:p>
    <w:p>
      <w:pPr>
        <w:pStyle w:val="Compact"/>
        <w:numPr>
          <w:ilvl w:val="0"/>
          <w:numId w:val="1007"/>
        </w:numPr>
      </w:pPr>
      <w:r>
        <w:rPr>
          <w:b/>
          <w:bCs/>
        </w:rPr>
        <w:t xml:space="preserve">Decision record:</w:t>
      </w:r>
      <w:r>
        <w:t xml:space="preserve"> </w:t>
      </w:r>
      <w:r>
        <w:t xml:space="preserve">&lt;link to decision record&gt;</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articles/rcos-core/v0-1/layer-5-operations-coordination#71-roles-and-responsibilities" TargetMode="External" /><Relationship Type="http://schemas.openxmlformats.org/officeDocument/2006/relationships/hyperlink" Id="rId15" Target="https://rcos.ecohubs.community/articles/rcos-core/v0-1/layer-5-operations-coordination#73-documentation-and-information-flow" TargetMode="External" /><Relationship Type="http://schemas.openxmlformats.org/officeDocument/2006/relationships/hyperlink" Id="rId16" Target="https://rcos.ecohubs.community/articles/rcos-core/v0-1/layer-5-operations-coordination#74-workload-and-capacity-boundaries" TargetMode="External" /><Relationship Type="http://schemas.openxmlformats.org/officeDocument/2006/relationships/hyperlink" Id="rId17" Target="https://rcos.ecohubs.community/articles/rcos-core/v0-1/layer-5-operations-coordination#75-operational-continuity" TargetMode="External" /><Relationship Type="http://schemas.openxmlformats.org/officeDocument/2006/relationships/hyperlink" Id="rId18" Target="https://rcos.ecohubs.community/articles/rcos-core/v0-1/layer-5-operations-coordination#76-artifacts" TargetMode="External" /><Relationship Type="http://schemas.openxmlformats.org/officeDocument/2006/relationships/hyperlink" Id="rId19" Target="https://rcos.ecohubs.community/articles/rcos-core/v0-1/layer-5-operations-coordination#77-layer-invariants" TargetMode="External" /><Relationship Type="http://schemas.openxmlformats.org/officeDocument/2006/relationships/hyperlink" Id="rId26" Target="https://rcos.ecohubs.community/articles/rcos-core/v0-1/layer-5-operations-coordination#78-explicitness-rule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5/operations-manua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articles/rcos-core/v0-1/layer-5-operations-coordination#71-roles-and-responsibilities" TargetMode="External" /><Relationship Type="http://schemas.openxmlformats.org/officeDocument/2006/relationships/hyperlink" Id="rId15" Target="https://rcos.ecohubs.community/articles/rcos-core/v0-1/layer-5-operations-coordination#73-documentation-and-information-flow" TargetMode="External" /><Relationship Type="http://schemas.openxmlformats.org/officeDocument/2006/relationships/hyperlink" Id="rId16" Target="https://rcos.ecohubs.community/articles/rcos-core/v0-1/layer-5-operations-coordination#74-workload-and-capacity-boundaries" TargetMode="External" /><Relationship Type="http://schemas.openxmlformats.org/officeDocument/2006/relationships/hyperlink" Id="rId17" Target="https://rcos.ecohubs.community/articles/rcos-core/v0-1/layer-5-operations-coordination#75-operational-continuity" TargetMode="External" /><Relationship Type="http://schemas.openxmlformats.org/officeDocument/2006/relationships/hyperlink" Id="rId18" Target="https://rcos.ecohubs.community/articles/rcos-core/v0-1/layer-5-operations-coordination#76-artifacts" TargetMode="External" /><Relationship Type="http://schemas.openxmlformats.org/officeDocument/2006/relationships/hyperlink" Id="rId19" Target="https://rcos.ecohubs.community/articles/rcos-core/v0-1/layer-5-operations-coordination#77-layer-invariants" TargetMode="External" /><Relationship Type="http://schemas.openxmlformats.org/officeDocument/2006/relationships/hyperlink" Id="rId26" Target="https://rcos.ecohubs.community/articles/rcos-core/v0-1/layer-5-operations-coordination#78-explicitness-rules" TargetMode="External" /><Relationship Type="http://schemas.openxmlformats.org/officeDocument/2006/relationships/hyperlink" Id="rId13" Target="https://rcos.ecohubs.community/articles/rcos-templates" TargetMode="External" /><Relationship Type="http://schemas.openxmlformats.org/officeDocument/2006/relationships/hyperlink" Id="rId12" Target="https://rcos.ecohubs.community/articles/rcos-templates/layer-5/operations-manua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2026-08-31T15:38:28Z</dcterms:created>
  <dcterms:modified xsi:type="dcterms:W3CDTF">2026-08-31T15:38:28Z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Operations Manual</vt:lpwstr>
  </property>
</Properties>
</file>