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8" w:name="registro-de-invariantes"/>
    <w:p>
      <w:pPr>
        <w:pStyle w:val="Heading1"/>
      </w:pPr>
      <w:r>
        <w:t xml:space="preserve">Registro de Invariantes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https://rcos.ecohubs.community/es/articles/rcos-templates/layer-0/invariants-register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0 — Identidad y Alcance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§2.3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pPr>
        <w:pStyle w:val="FirstParagraph"/>
      </w:pPr>
      <w:r>
        <w:t xml:space="preserve">&gt; Las invariantes son restricciones que NO DEBEN ser violadas mientras estén en vigor. Ninguna decisión, rol, proceso o medida de emergencia puede anular una invariante. Si surge un conflicto entre una invariante y cualquier otra regla, la invariante prevalece.</w:t>
      </w:r>
    </w:p>
    <w:p>
      <w:r>
        <w:pict>
          <v:rect style="width:0;height:1.5pt" o:hralign="center" o:hrstd="t" o:hr="t"/>
        </w:pict>
      </w:r>
    </w:p>
    <w:bookmarkStart w:id="16" w:name="invariantes-activas"/>
    <w:p>
      <w:pPr>
        <w:pStyle w:val="Heading2"/>
      </w:pPr>
      <w:r>
        <w:t xml:space="preserve">Invariantes Activas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2.3.6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las invariantes no pueden ser anuladas</w:t>
      </w:r>
      <w:r>
        <w:t xml:space="preserve"> </w:t>
      </w:r>
      <w:r>
        <w:t xml:space="preserve">&gt;</w:t>
      </w:r>
      <w:r>
        <w:t xml:space="preserve"> </w:t>
      </w:r>
      <w:r>
        <w:t xml:space="preserve">&gt; Las invariantes son el piso firme del sistema — aquello que debe mantenerse verdadero incluso bajo presión, emergencia o votación popular. Si cualquier decisión, rol o medida de crisis pudiera anularlas, dejarían de ser restricciones y se convertirían en preferencias. Enumerarlas explícitamente y vincularlas a todas las capas es lo que hace que el sistema de gobernanza sea confiable bajo estrés, no solo en días tranquilos.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Cada invariante es una restricción firme. Mantenlas pocas, específicas y absolutas — formuladas de modo que cualquier violación sea inequívocamente identificable. Categorías comunes: protección del propósito, trazabilidad de la autoridad, derechos de salida, neutralidad ideológica, no-extracción, primacía de la seguridad.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Invariante</w:t>
            </w:r>
          </w:p>
        </w:tc>
        <w:tc>
          <w:tcPr/>
          <w:p>
            <w:pPr>
              <w:pStyle w:val="Compact"/>
            </w:pPr>
            <w:r>
              <w:t xml:space="preserve">Añadida</w:t>
            </w:r>
          </w:p>
        </w:tc>
        <w:tc>
          <w:tcPr/>
          <w:p>
            <w:pPr>
              <w:pStyle w:val="Compact"/>
            </w:pPr>
            <w:r>
              <w:t xml:space="preserve">Registro de 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El propósito principal nunca puede ser anulado por ninguna decisión operativa o estratégica, rol o medida de emergencia.&gt;</w:t>
            </w:r>
          </w:p>
        </w:tc>
        <w:tc>
          <w:tcPr/>
          <w:p>
            <w:pPr>
              <w:pStyle w:val="Compact"/>
            </w:pPr>
            <w:r>
              <w:t xml:space="preserve">&lt;AAAA-MM-DD&gt;</w:t>
            </w: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La autoridad siempre debe ser explícita y trazable al sistema de gobernanza — ninguna persona o rol puede poseer o ejercer autoridad no declarada.&gt;</w:t>
            </w:r>
          </w:p>
        </w:tc>
        <w:tc>
          <w:tcPr/>
          <w:p>
            <w:pPr>
              <w:pStyle w:val="Compact"/>
            </w:pPr>
            <w:r>
              <w:t xml:space="preserve">&lt;AAAA-MM-DD&gt;</w:t>
            </w: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La salida de la comunidad siempre debe ser posible y nunca puede ser bloqueada, penalizada ni condicionada más allá de lo definido en la Capa 1.&gt;</w:t>
            </w:r>
          </w:p>
        </w:tc>
        <w:tc>
          <w:tcPr/>
          <w:p>
            <w:pPr>
              <w:pStyle w:val="Compact"/>
            </w:pPr>
            <w:r>
              <w:t xml:space="preserve">&lt;AAAA-MM-DD&gt;</w:t>
            </w: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invariante.&gt;</w:t>
            </w:r>
          </w:p>
        </w:tc>
        <w:tc>
          <w:tcPr/>
          <w:p>
            <w:pPr>
              <w:pStyle w:val="Compact"/>
            </w:pPr>
            <w:r>
              <w:t xml:space="preserve">&lt;AAAA-MM-DD&gt;</w:t>
            </w: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invariante.&gt;</w:t>
            </w:r>
          </w:p>
        </w:tc>
        <w:tc>
          <w:tcPr/>
          <w:p>
            <w:pPr>
              <w:pStyle w:val="Compact"/>
            </w:pPr>
            <w:r>
              <w:t xml:space="preserve">&lt;AAAA-MM-DD&gt;</w:t>
            </w: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&lt;Declaración de invariante, p. ej. La seguridad física, psicológica e infantil siempre prevalece sobre los derechos de participación, la continuidad de roles y las preocupaciones reputacionales.&gt;</w:t>
            </w:r>
          </w:p>
        </w:tc>
        <w:tc>
          <w:tcPr/>
          <w:p>
            <w:pPr>
              <w:pStyle w:val="Compact"/>
            </w:pPr>
            <w:r>
              <w:t xml:space="preserve">&lt;AAAA-MM-DD&gt;</w:t>
            </w:r>
          </w:p>
        </w:tc>
        <w:tc>
          <w:tcPr/>
          <w:p>
            <w:pPr>
              <w:pStyle w:val="Compact"/>
            </w:pPr>
            <w:r>
              <w:t xml:space="preserve">[enlace]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Adoptada: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0-identity-scope#23-invariants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invariants-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0-identity-scope#23-invariants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invariants-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2026-08-31T15:38:39Z</dcterms:created>
  <dcterms:modified xsi:type="dcterms:W3CDTF">2026-08-31T15:38:39Z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Invariantes</vt:lpwstr>
  </property>
</Properties>
</file>