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LLM/MetaData Comments, April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4/29/2025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Common issues: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Identifying wells as water sources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Sometimes owners/well numbers are recognized, other times not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Especially with several wells on one page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Difficulties capturing all locations/sources for miscellaneous measurement tables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Context paragraph vs. header information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Sometimes information is pulled from explanatory paragraphs directly preceding the table, but this information might describe a class of tables and not the table on the actual page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Leads to difficulties capturing accurate time ranges or source/location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Sometimes metadata is captured for a table that doesn’t exist on the page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.json?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Category classification consistency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Ex. “Discharge” vs. “Discharge measurements” vs. “Daily/monthly discharge”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distinction between man-made (canals, etc.) and nature (creeks, streams, etc.)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