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Notes and Observations- April 2025 Set 2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Water source </w:t>
      </w:r>
      <w:r w:rsidDel="00000000" w:rsidR="00000000" w:rsidRPr="00000000">
        <w:rPr>
          <w:rtl w:val="0"/>
        </w:rPr>
        <w:t xml:space="preserve">format is tricky- most of the time it will log some sources but not all (when there is more than 3 in a page)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Sometimes logs a page twice because of the location and one of them will be more accurate than the other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Sometimes can be even more accurate than our categories because it gets the description straight from the title- ex. “Depth of water level below bench mark” vs. “groundwater well level”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 the same paper, sometimes will get the category from the main title, sometimes from the column title- makes some more accurate than others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Did Henderson begin categorizing stream flow as discharge+runoff?</w:t>
      </w:r>
    </w:p>
    <w:p w:rsidR="00000000" w:rsidDel="00000000" w:rsidP="00000000" w:rsidRDefault="00000000" w:rsidRPr="00000000" w14:paraId="00000007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