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Include major categories (focus), minor categories (as applicable)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Wells, borings, boring, waters, water, groundwater, ground–water, artesian, flowing, discharge, recharge, replenishment, precipitation, rain, rainfall, weather snow, stream, streams, river, rivers, flow, creek, spring, springs, water-supply, irrigation, domestic, water-right, water allocation, water use, gage, runoff, lake, lakes, lake elevation, reservoir, capacity, well level, storage, yield, chemical concentration, chemical analysis, chemical analyses, pump, pumpage, area irrigated, oil well, geology, dam, dams, canal, canals,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Only major water categories (added by AH 5/01/25): </w:t>
      </w:r>
    </w:p>
    <w:p w:rsidR="00000000" w:rsidDel="00000000" w:rsidP="00000000" w:rsidRDefault="00000000" w:rsidRPr="00000000" w14:paraId="00000007">
      <w:pPr>
        <w:rPr/>
      </w:pPr>
      <w:r w:rsidDel="00000000" w:rsidR="00000000" w:rsidRPr="00000000">
        <w:rPr>
          <w:rtl w:val="0"/>
        </w:rPr>
        <w:t xml:space="preserve">Groundwater, discharge, precipitation, springs, irrigation, chemical analyses, reservoir, recharge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