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D6B"/>
          <w:sz w:val="56"/>
        </w:rPr>
        <w:t>EcoFinwize</w:t>
        <w:br/>
        <w:t>African Market Analysis</w:t>
      </w:r>
    </w:p>
    <w:p/>
    <w:p>
      <w:pPr>
        <w:jc w:val="center"/>
      </w:pPr>
      <w:r>
        <w:rPr>
          <w:rFonts w:ascii="Calibri" w:hAnsi="Calibri"/>
          <w:color w:val="555577"/>
          <w:sz w:val="28"/>
        </w:rPr>
        <w:t>Comprehensive Multi-Market Competitive Matrix,</w:t>
        <w:br/>
        <w:t>Sector Analysis, and Strategic Positioning</w:t>
        <w:br/>
        <w:t>for the African Fintech Market</w:t>
      </w:r>
    </w:p>
    <w:p/>
    <w:p/>
    <w:p>
      <w:pPr>
        <w:jc w:val="center"/>
      </w:pPr>
      <w:r>
        <w:rPr>
          <w:rFonts w:ascii="Calibri" w:hAnsi="Calibri"/>
          <w:color w:val="555577"/>
          <w:sz w:val="24"/>
        </w:rPr>
        <w:t>July 2026</w:t>
      </w:r>
    </w:p>
    <w:p>
      <w:r>
        <w:br w:type="page"/>
      </w:r>
    </w:p>
    <w:p>
      <w:pPr>
        <w:pStyle w:val="Heading1"/>
      </w:pPr>
      <w:r>
        <w:t>Table of Contents</w:t>
      </w:r>
    </w:p>
    <w:p>
      <w:pPr>
        <w:spacing w:after="120"/>
      </w:pPr>
      <w:r>
        <w:rPr>
          <w:rFonts w:ascii="Calibri" w:hAnsi="Calibri"/>
          <w:b w:val="0"/>
          <w:i w:val="0"/>
          <w:sz w:val="22"/>
        </w:rPr>
        <w:t>1. Executive Summary</w:t>
      </w:r>
    </w:p>
    <w:p>
      <w:pPr>
        <w:spacing w:after="120"/>
      </w:pPr>
      <w:r>
        <w:rPr>
          <w:rFonts w:ascii="Calibri" w:hAnsi="Calibri"/>
          <w:b w:val="0"/>
          <w:i w:val="0"/>
          <w:sz w:val="22"/>
        </w:rPr>
        <w:t>2. African Fintech Market Overview (2026)</w:t>
      </w:r>
    </w:p>
    <w:p>
      <w:pPr>
        <w:spacing w:after="120"/>
      </w:pPr>
      <w:r>
        <w:rPr>
          <w:rFonts w:ascii="Calibri" w:hAnsi="Calibri"/>
          <w:b w:val="0"/>
          <w:i w:val="0"/>
          <w:sz w:val="22"/>
        </w:rPr>
        <w:t>3. EcoFinwize Comprehensive Multi-Market Competitive Matrix</w:t>
      </w:r>
    </w:p>
    <w:p>
      <w:pPr>
        <w:spacing w:after="120"/>
      </w:pPr>
      <w:r>
        <w:rPr>
          <w:rFonts w:ascii="Calibri" w:hAnsi="Calibri"/>
          <w:b w:val="0"/>
          <w:i w:val="0"/>
          <w:sz w:val="22"/>
        </w:rPr>
        <w:t>4. Deep-Dive Sector Analysis</w:t>
      </w:r>
    </w:p>
    <w:p>
      <w:pPr>
        <w:spacing w:after="120"/>
      </w:pPr>
      <w:r>
        <w:rPr>
          <w:rFonts w:ascii="Calibri" w:hAnsi="Calibri"/>
          <w:b w:val="0"/>
          <w:i w:val="0"/>
          <w:sz w:val="22"/>
        </w:rPr>
        <w:t xml:space="preserve">   4.1 Wealth Management Platforms</w:t>
      </w:r>
    </w:p>
    <w:p>
      <w:pPr>
        <w:spacing w:after="120"/>
      </w:pPr>
      <w:r>
        <w:rPr>
          <w:rFonts w:ascii="Calibri" w:hAnsi="Calibri"/>
          <w:b w:val="0"/>
          <w:i w:val="0"/>
          <w:sz w:val="22"/>
        </w:rPr>
        <w:t xml:space="preserve">   4.2 Digital Banks &amp; Super Apps</w:t>
      </w:r>
    </w:p>
    <w:p>
      <w:pPr>
        <w:spacing w:after="120"/>
      </w:pPr>
      <w:r>
        <w:rPr>
          <w:rFonts w:ascii="Calibri" w:hAnsi="Calibri"/>
          <w:b w:val="0"/>
          <w:i w:val="0"/>
          <w:sz w:val="22"/>
        </w:rPr>
        <w:t xml:space="preserve">   4.3 SME Business Management Platforms</w:t>
      </w:r>
    </w:p>
    <w:p>
      <w:pPr>
        <w:spacing w:after="120"/>
      </w:pPr>
      <w:r>
        <w:rPr>
          <w:rFonts w:ascii="Calibri" w:hAnsi="Calibri"/>
          <w:b w:val="0"/>
          <w:i w:val="0"/>
          <w:sz w:val="22"/>
        </w:rPr>
        <w:t xml:space="preserve">   4.4 Banking AI / Chatbots</w:t>
      </w:r>
    </w:p>
    <w:p>
      <w:pPr>
        <w:spacing w:after="120"/>
      </w:pPr>
      <w:r>
        <w:rPr>
          <w:rFonts w:ascii="Calibri" w:hAnsi="Calibri"/>
          <w:b w:val="0"/>
          <w:i w:val="0"/>
          <w:sz w:val="22"/>
        </w:rPr>
        <w:t xml:space="preserve">   4.5 General AI Assistants</w:t>
      </w:r>
    </w:p>
    <w:p>
      <w:pPr>
        <w:spacing w:after="120"/>
      </w:pPr>
      <w:r>
        <w:rPr>
          <w:rFonts w:ascii="Calibri" w:hAnsi="Calibri"/>
          <w:b w:val="0"/>
          <w:i w:val="0"/>
          <w:sz w:val="22"/>
        </w:rPr>
        <w:t xml:space="preserve">   4.6 Financial Education Platforms</w:t>
      </w:r>
    </w:p>
    <w:p>
      <w:pPr>
        <w:spacing w:after="120"/>
      </w:pPr>
      <w:r>
        <w:rPr>
          <w:rFonts w:ascii="Calibri" w:hAnsi="Calibri"/>
          <w:b w:val="0"/>
          <w:i w:val="0"/>
          <w:sz w:val="22"/>
        </w:rPr>
        <w:t xml:space="preserve">   4.7 Global AI Financial Copilots</w:t>
      </w:r>
    </w:p>
    <w:p>
      <w:pPr>
        <w:spacing w:after="120"/>
      </w:pPr>
      <w:r>
        <w:rPr>
          <w:rFonts w:ascii="Calibri" w:hAnsi="Calibri"/>
          <w:b w:val="0"/>
          <w:i w:val="0"/>
          <w:sz w:val="22"/>
        </w:rPr>
        <w:t>5. Emerging Competitive Threats in the African Market</w:t>
      </w:r>
    </w:p>
    <w:p>
      <w:pPr>
        <w:spacing w:after="120"/>
      </w:pPr>
      <w:r>
        <w:rPr>
          <w:rFonts w:ascii="Calibri" w:hAnsi="Calibri"/>
          <w:b w:val="0"/>
          <w:i w:val="0"/>
          <w:sz w:val="22"/>
        </w:rPr>
        <w:t>6. How EcoFinwize Wins: Competitive Advantage Framework</w:t>
      </w:r>
    </w:p>
    <w:p>
      <w:pPr>
        <w:spacing w:after="120"/>
      </w:pPr>
      <w:r>
        <w:rPr>
          <w:rFonts w:ascii="Calibri" w:hAnsi="Calibri"/>
          <w:b w:val="0"/>
          <w:i w:val="0"/>
          <w:sz w:val="22"/>
        </w:rPr>
        <w:t>7. EcoFinwize Sustainable Competitive Advantages (Moats)</w:t>
      </w:r>
    </w:p>
    <w:p>
      <w:pPr>
        <w:spacing w:after="120"/>
      </w:pPr>
      <w:r>
        <w:rPr>
          <w:rFonts w:ascii="Calibri" w:hAnsi="Calibri"/>
          <w:b w:val="0"/>
          <w:i w:val="0"/>
          <w:sz w:val="22"/>
        </w:rPr>
        <w:t>8. Strategic Positioning for the African Market</w:t>
      </w:r>
    </w:p>
    <w:p>
      <w:pPr>
        <w:spacing w:after="120"/>
      </w:pPr>
      <w:r>
        <w:rPr>
          <w:rFonts w:ascii="Calibri" w:hAnsi="Calibri"/>
          <w:b w:val="0"/>
          <w:i w:val="0"/>
          <w:sz w:val="22"/>
        </w:rPr>
        <w:t>9. Market Validation &amp; African Fintech Data (2026)</w:t>
      </w:r>
    </w:p>
    <w:p>
      <w:pPr>
        <w:spacing w:after="120"/>
      </w:pPr>
      <w:r>
        <w:rPr>
          <w:rFonts w:ascii="Calibri" w:hAnsi="Calibri"/>
          <w:b w:val="0"/>
          <w:i w:val="0"/>
          <w:sz w:val="22"/>
        </w:rPr>
        <w:t>10. Risk Factors &amp; Mitigation for African Markets</w:t>
      </w:r>
    </w:p>
    <w:p>
      <w:r>
        <w:br w:type="page"/>
      </w:r>
    </w:p>
    <w:p>
      <w:pPr>
        <w:pStyle w:val="Heading1"/>
      </w:pPr>
      <w:r>
        <w:t>1. Executive Summary</w:t>
      </w:r>
    </w:p>
    <w:p>
      <w:pPr>
        <w:spacing w:after="120"/>
      </w:pPr>
      <w:r>
        <w:rPr>
          <w:rFonts w:ascii="Calibri" w:hAnsi="Calibri"/>
          <w:b w:val="0"/>
          <w:i w:val="0"/>
          <w:sz w:val="20"/>
        </w:rPr>
        <w:t>The African fintech sector in 2026 has crossed a historic threshold. After enduring a sharp funding downturn from 2023 through 2024, the sector entered a recovery phase defined by institutional maturity, strategic consolidation, and a decisive shift toward sustainable business models. African fintech attracted $3.4 billion in funding during 2025 (33% YoY increase), with Q1 2026 alone registering $187.1 million across 21 deals — a 400% quarter-over-quarter rebound. Sector revenues are projected to expand 13-fold to approximately $65 billion by 2030, making Africa the fastest-growing fintech market globally (BCG, March 2026).</w:t>
      </w:r>
    </w:p>
    <w:p>
      <w:pPr>
        <w:spacing w:after="120"/>
      </w:pPr>
      <w:r>
        <w:rPr>
          <w:rFonts w:ascii="Calibri" w:hAnsi="Calibri"/>
          <w:b w:val="0"/>
          <w:i w:val="0"/>
          <w:sz w:val="20"/>
        </w:rPr>
        <w:t>EcoFinwize enters this market at a unique inflection point. The first wave of African fintech — mobile money, digital payments, and consumer lending — has largely matured. The second wave is being defined by AI-driven financial intelligence, embedded finance, open banking interoperability, and SME-focused infrastructure. EcoFinwize is positioned at the intersection of these converging trends: an AI-native, conversation-first financial intelligence platform built specifically for African consumers and small businesses.</w:t>
      </w:r>
    </w:p>
    <w:p>
      <w:pPr>
        <w:spacing w:after="120"/>
      </w:pPr>
      <w:r>
        <w:rPr>
          <w:rFonts w:ascii="Calibri" w:hAnsi="Calibri"/>
          <w:b w:val="0"/>
          <w:i w:val="0"/>
          <w:sz w:val="20"/>
        </w:rPr>
        <w:t>This market analysis provides a rigorous, evidence-based examination of the African fintech competitive landscape in 2026. It maps every major competitor across seven sectors, identifies structural gaps in the market, articulates EcoFinwize's sustainable competitive advantages, and establishes why the platform is uniquely positioned to capture and defend its target market as an ecosystem enabler rather than an isolated disruptor.</w:t>
      </w:r>
    </w:p>
    <w:p>
      <w:r>
        <w:br w:type="page"/>
      </w:r>
    </w:p>
    <w:p>
      <w:pPr>
        <w:pStyle w:val="Heading1"/>
      </w:pPr>
      <w:r>
        <w:t>2. African Fintech Market Overview (2026)</w:t>
      </w:r>
    </w:p>
    <w:p>
      <w:pPr>
        <w:pStyle w:val="Heading2"/>
      </w:pPr>
      <w:r>
        <w:t>2.1 Market Size &amp; Growth Trajectory</w:t>
      </w:r>
    </w:p>
    <w:p>
      <w:pPr>
        <w:spacing w:after="120"/>
      </w:pPr>
      <w:r>
        <w:rPr>
          <w:rFonts w:ascii="Calibri" w:hAnsi="Calibri"/>
          <w:b w:val="0"/>
          <w:i w:val="0"/>
          <w:sz w:val="20"/>
        </w:rPr>
        <w:t>The African fintech market has entered its second wave. BCG's March 2026 report "Beyond Payments: Unlocking Africa's Second FinTech Wave" confirms that Africa is the fastest-growing fintech market globally, with revenues projected to expand 13x to approximately $65 billion by 2030. The Middle East and Africa fintech market is anticipated to reach $103.65 billion by 2033 from $18.07 billion in 2024, at a CAGR of 21.42% (Market Data Forecast, 2025).</w:t>
      </w:r>
    </w:p>
    <w:p>
      <w:pPr>
        <w:spacing w:after="120"/>
      </w:pPr>
      <w:r>
        <w:rPr>
          <w:rFonts w:ascii="Calibri" w:hAnsi="Calibri"/>
          <w:b w:val="0"/>
          <w:i w:val="0"/>
          <w:sz w:val="20"/>
        </w:rPr>
        <w:t>Key structural indicators underpin this growth: nearly 300 million African adults remain unbanked, mobile internet users are approaching 475 million, and the continent already accounts for 74% of global mobile money transaction volume. While the first wave built domestic payment rails, the second wave is defined by B2B payments, government digitisation, interoperable credit rails, and AI-driven underwriting as the engines of the next growth phase.</w:t>
      </w:r>
    </w:p>
    <w:p>
      <w:pPr>
        <w:pStyle w:val="Heading2"/>
      </w:pPr>
      <w:r>
        <w:t>2.2 Funding Landscape (2025–2026)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02"/>
            <w:shd w:fill="003D6B" w:val="clear"/>
          </w:tcPr>
          <w:p>
            <w:pPr>
              <w:jc w:val="left"/>
            </w:pPr>
            <w:r>
              <w:rPr>
                <w:rFonts w:ascii="Calibri" w:hAnsi="Calibri"/>
                <w:b/>
                <w:color w:val="FFFFFF"/>
                <w:sz w:val="18"/>
              </w:rPr>
              <w:t>Metric</w:t>
            </w:r>
          </w:p>
        </w:tc>
        <w:tc>
          <w:tcPr>
            <w:tcW w:type="dxa" w:w="2268"/>
            <w:shd w:fill="003D6B" w:val="clear"/>
          </w:tcPr>
          <w:p>
            <w:pPr>
              <w:jc w:val="left"/>
            </w:pPr>
            <w:r>
              <w:rPr>
                <w:rFonts w:ascii="Calibri" w:hAnsi="Calibri"/>
                <w:b/>
                <w:color w:val="FFFFFF"/>
                <w:sz w:val="18"/>
              </w:rPr>
              <w:t>2024</w:t>
            </w:r>
          </w:p>
        </w:tc>
        <w:tc>
          <w:tcPr>
            <w:tcW w:type="dxa" w:w="2268"/>
            <w:shd w:fill="003D6B" w:val="clear"/>
          </w:tcPr>
          <w:p>
            <w:pPr>
              <w:jc w:val="left"/>
            </w:pPr>
            <w:r>
              <w:rPr>
                <w:rFonts w:ascii="Calibri" w:hAnsi="Calibri"/>
                <w:b/>
                <w:color w:val="FFFFFF"/>
                <w:sz w:val="18"/>
              </w:rPr>
              <w:t>2025</w:t>
            </w:r>
          </w:p>
        </w:tc>
        <w:tc>
          <w:tcPr>
            <w:tcW w:type="dxa" w:w="2268"/>
            <w:shd w:fill="003D6B" w:val="clear"/>
          </w:tcPr>
          <w:p>
            <w:pPr>
              <w:jc w:val="left"/>
            </w:pPr>
            <w:r>
              <w:rPr>
                <w:rFonts w:ascii="Calibri" w:hAnsi="Calibri"/>
                <w:b/>
                <w:color w:val="FFFFFF"/>
                <w:sz w:val="18"/>
              </w:rPr>
              <w:t>Q1 2026</w:t>
            </w:r>
          </w:p>
        </w:tc>
      </w:tr>
      <w:tr>
        <w:tc>
          <w:tcPr>
            <w:tcW w:type="dxa" w:w="3402"/>
          </w:tcPr>
          <w:p>
            <w:r>
              <w:rPr>
                <w:rFonts w:ascii="Calibri" w:hAnsi="Calibri"/>
                <w:b/>
                <w:color w:val="1A1A2E"/>
                <w:sz w:val="18"/>
              </w:rPr>
              <w:t>Total African Tech Funding</w:t>
            </w:r>
          </w:p>
        </w:tc>
        <w:tc>
          <w:tcPr>
            <w:tcW w:type="dxa" w:w="2268"/>
          </w:tcPr>
          <w:p>
            <w:r>
              <w:rPr>
                <w:rFonts w:ascii="Calibri" w:hAnsi="Calibri"/>
                <w:b w:val="0"/>
                <w:color w:val="1A1A2E"/>
                <w:sz w:val="18"/>
              </w:rPr>
              <w:t>$1.1B</w:t>
            </w:r>
          </w:p>
        </w:tc>
        <w:tc>
          <w:tcPr>
            <w:tcW w:type="dxa" w:w="2268"/>
          </w:tcPr>
          <w:p>
            <w:r>
              <w:rPr>
                <w:rFonts w:ascii="Calibri" w:hAnsi="Calibri"/>
                <w:b w:val="0"/>
                <w:color w:val="1A1A2E"/>
                <w:sz w:val="18"/>
              </w:rPr>
              <w:t>$4.1B</w:t>
            </w:r>
          </w:p>
        </w:tc>
        <w:tc>
          <w:tcPr>
            <w:tcW w:type="dxa" w:w="2268"/>
          </w:tcPr>
          <w:p>
            <w:r>
              <w:rPr>
                <w:rFonts w:ascii="Calibri" w:hAnsi="Calibri"/>
                <w:b w:val="0"/>
                <w:color w:val="1A1A2E"/>
                <w:sz w:val="18"/>
              </w:rPr>
              <w:t>$705M</w:t>
            </w:r>
          </w:p>
        </w:tc>
      </w:tr>
      <w:tr>
        <w:tc>
          <w:tcPr>
            <w:tcW w:type="dxa" w:w="3402"/>
          </w:tcPr>
          <w:p>
            <w:r>
              <w:rPr>
                <w:rFonts w:ascii="Calibri" w:hAnsi="Calibri"/>
                <w:b/>
                <w:color w:val="1A1A2E"/>
                <w:sz w:val="18"/>
              </w:rPr>
              <w:t>Fintech Equity Funding</w:t>
            </w:r>
          </w:p>
        </w:tc>
        <w:tc>
          <w:tcPr>
            <w:tcW w:type="dxa" w:w="2268"/>
          </w:tcPr>
          <w:p>
            <w:r>
              <w:rPr>
                <w:rFonts w:ascii="Calibri" w:hAnsi="Calibri"/>
                <w:b w:val="0"/>
                <w:color w:val="1A1A2E"/>
                <w:sz w:val="18"/>
              </w:rPr>
              <w:t>~$600M</w:t>
            </w:r>
          </w:p>
        </w:tc>
        <w:tc>
          <w:tcPr>
            <w:tcW w:type="dxa" w:w="2268"/>
          </w:tcPr>
          <w:p>
            <w:r>
              <w:rPr>
                <w:rFonts w:ascii="Calibri" w:hAnsi="Calibri"/>
                <w:b w:val="0"/>
                <w:color w:val="1A1A2E"/>
                <w:sz w:val="18"/>
              </w:rPr>
              <w:t>$769M</w:t>
            </w:r>
          </w:p>
        </w:tc>
        <w:tc>
          <w:tcPr>
            <w:tcW w:type="dxa" w:w="2268"/>
          </w:tcPr>
          <w:p>
            <w:r>
              <w:rPr>
                <w:rFonts w:ascii="Calibri" w:hAnsi="Calibri"/>
                <w:b w:val="0"/>
                <w:color w:val="1A1A2E"/>
                <w:sz w:val="18"/>
              </w:rPr>
              <w:t>$187M</w:t>
            </w:r>
          </w:p>
        </w:tc>
      </w:tr>
      <w:tr>
        <w:tc>
          <w:tcPr>
            <w:tcW w:type="dxa" w:w="3402"/>
          </w:tcPr>
          <w:p>
            <w:r>
              <w:rPr>
                <w:rFonts w:ascii="Calibri" w:hAnsi="Calibri"/>
                <w:b/>
                <w:color w:val="1A1A2E"/>
                <w:sz w:val="18"/>
              </w:rPr>
              <w:t>Fintech % of Total Equity</w:t>
            </w:r>
          </w:p>
        </w:tc>
        <w:tc>
          <w:tcPr>
            <w:tcW w:type="dxa" w:w="2268"/>
          </w:tcPr>
          <w:p>
            <w:r>
              <w:rPr>
                <w:rFonts w:ascii="Calibri" w:hAnsi="Calibri"/>
                <w:b w:val="0"/>
                <w:color w:val="1A1A2E"/>
                <w:sz w:val="18"/>
              </w:rPr>
              <w:t>~55%</w:t>
            </w:r>
          </w:p>
        </w:tc>
        <w:tc>
          <w:tcPr>
            <w:tcW w:type="dxa" w:w="2268"/>
          </w:tcPr>
          <w:p>
            <w:r>
              <w:rPr>
                <w:rFonts w:ascii="Calibri" w:hAnsi="Calibri"/>
                <w:b w:val="0"/>
                <w:color w:val="1A1A2E"/>
                <w:sz w:val="18"/>
              </w:rPr>
              <w:t>25%</w:t>
            </w:r>
          </w:p>
        </w:tc>
        <w:tc>
          <w:tcPr>
            <w:tcW w:type="dxa" w:w="2268"/>
          </w:tcPr>
          <w:p>
            <w:r>
              <w:rPr>
                <w:rFonts w:ascii="Calibri" w:hAnsi="Calibri"/>
                <w:b w:val="0"/>
                <w:color w:val="1A1A2E"/>
                <w:sz w:val="18"/>
              </w:rPr>
              <w:t>~34%</w:t>
            </w:r>
          </w:p>
        </w:tc>
      </w:tr>
      <w:tr>
        <w:tc>
          <w:tcPr>
            <w:tcW w:type="dxa" w:w="3402"/>
          </w:tcPr>
          <w:p>
            <w:r>
              <w:rPr>
                <w:rFonts w:ascii="Calibri" w:hAnsi="Calibri"/>
                <w:b/>
                <w:color w:val="1A1A2E"/>
                <w:sz w:val="18"/>
              </w:rPr>
              <w:t>Debt Financing (All Sectors)</w:t>
            </w:r>
          </w:p>
        </w:tc>
        <w:tc>
          <w:tcPr>
            <w:tcW w:type="dxa" w:w="2268"/>
          </w:tcPr>
          <w:p>
            <w:r>
              <w:rPr>
                <w:rFonts w:ascii="Calibri" w:hAnsi="Calibri"/>
                <w:b w:val="0"/>
                <w:color w:val="1A1A2E"/>
                <w:sz w:val="18"/>
              </w:rPr>
              <w:t>~$1.0B</w:t>
            </w:r>
          </w:p>
        </w:tc>
        <w:tc>
          <w:tcPr>
            <w:tcW w:type="dxa" w:w="2268"/>
          </w:tcPr>
          <w:p>
            <w:r>
              <w:rPr>
                <w:rFonts w:ascii="Calibri" w:hAnsi="Calibri"/>
                <w:b w:val="0"/>
                <w:color w:val="1A1A2E"/>
                <w:sz w:val="18"/>
              </w:rPr>
              <w:t>$1.64B</w:t>
            </w:r>
          </w:p>
        </w:tc>
        <w:tc>
          <w:tcPr>
            <w:tcW w:type="dxa" w:w="2268"/>
          </w:tcPr>
          <w:p>
            <w:r>
              <w:rPr>
                <w:rFonts w:ascii="Calibri" w:hAnsi="Calibri"/>
                <w:b w:val="0"/>
                <w:color w:val="1A1A2E"/>
                <w:sz w:val="18"/>
              </w:rPr>
              <w:t>Growing YoY</w:t>
            </w:r>
          </w:p>
        </w:tc>
      </w:tr>
      <w:tr>
        <w:tc>
          <w:tcPr>
            <w:tcW w:type="dxa" w:w="3402"/>
          </w:tcPr>
          <w:p>
            <w:r>
              <w:rPr>
                <w:rFonts w:ascii="Calibri" w:hAnsi="Calibri"/>
                <w:b/>
                <w:color w:val="1A1A2E"/>
                <w:sz w:val="18"/>
              </w:rPr>
              <w:t>Deal Count (Fintech)</w:t>
            </w:r>
          </w:p>
        </w:tc>
        <w:tc>
          <w:tcPr>
            <w:tcW w:type="dxa" w:w="2268"/>
          </w:tcPr>
          <w:p>
            <w:r>
              <w:rPr>
                <w:rFonts w:ascii="Calibri" w:hAnsi="Calibri"/>
                <w:b w:val="0"/>
                <w:color w:val="1A1A2E"/>
                <w:sz w:val="18"/>
              </w:rPr>
              <w:t>~55</w:t>
            </w:r>
          </w:p>
        </w:tc>
        <w:tc>
          <w:tcPr>
            <w:tcW w:type="dxa" w:w="2268"/>
          </w:tcPr>
          <w:p>
            <w:r>
              <w:rPr>
                <w:rFonts w:ascii="Calibri" w:hAnsi="Calibri"/>
                <w:b w:val="0"/>
                <w:color w:val="1A1A2E"/>
                <w:sz w:val="18"/>
              </w:rPr>
              <w:t>54</w:t>
            </w:r>
          </w:p>
        </w:tc>
        <w:tc>
          <w:tcPr>
            <w:tcW w:type="dxa" w:w="2268"/>
          </w:tcPr>
          <w:p>
            <w:r>
              <w:rPr>
                <w:rFonts w:ascii="Calibri" w:hAnsi="Calibri"/>
                <w:b w:val="0"/>
                <w:color w:val="1A1A2E"/>
                <w:sz w:val="18"/>
              </w:rPr>
              <w:t>21</w:t>
            </w:r>
          </w:p>
        </w:tc>
      </w:tr>
      <w:tr>
        <w:tc>
          <w:tcPr>
            <w:tcW w:type="dxa" w:w="3402"/>
          </w:tcPr>
          <w:p>
            <w:r>
              <w:rPr>
                <w:rFonts w:ascii="Calibri" w:hAnsi="Calibri"/>
                <w:b/>
                <w:color w:val="1A1A2E"/>
                <w:sz w:val="18"/>
              </w:rPr>
              <w:t>Average Deal Size (Nigeria)</w:t>
            </w:r>
          </w:p>
        </w:tc>
        <w:tc>
          <w:tcPr>
            <w:tcW w:type="dxa" w:w="2268"/>
          </w:tcPr>
          <w:p>
            <w:r>
              <w:rPr>
                <w:rFonts w:ascii="Calibri" w:hAnsi="Calibri"/>
                <w:b w:val="0"/>
                <w:color w:val="1A1A2E"/>
                <w:sz w:val="18"/>
              </w:rPr>
              <w:t>~$8M</w:t>
            </w:r>
          </w:p>
        </w:tc>
        <w:tc>
          <w:tcPr>
            <w:tcW w:type="dxa" w:w="2268"/>
          </w:tcPr>
          <w:p>
            <w:r>
              <w:rPr>
                <w:rFonts w:ascii="Calibri" w:hAnsi="Calibri"/>
                <w:b w:val="0"/>
                <w:color w:val="1A1A2E"/>
                <w:sz w:val="18"/>
              </w:rPr>
              <w:t>$18.6M</w:t>
            </w:r>
          </w:p>
        </w:tc>
        <w:tc>
          <w:tcPr>
            <w:tcW w:type="dxa" w:w="2268"/>
          </w:tcPr>
          <w:p>
            <w:r>
              <w:rPr>
                <w:rFonts w:ascii="Calibri" w:hAnsi="Calibri"/>
                <w:b w:val="0"/>
                <w:color w:val="1A1A2E"/>
                <w:sz w:val="18"/>
              </w:rPr>
              <w:t>Increasing</w:t>
            </w:r>
          </w:p>
        </w:tc>
      </w:tr>
      <w:tr>
        <w:tc>
          <w:tcPr>
            <w:tcW w:type="dxa" w:w="3402"/>
          </w:tcPr>
          <w:p>
            <w:r>
              <w:rPr>
                <w:rFonts w:ascii="Calibri" w:hAnsi="Calibri"/>
                <w:b/>
                <w:color w:val="1A1A2E"/>
                <w:sz w:val="18"/>
              </w:rPr>
              <w:t>No. of Fintech Unicorns</w:t>
            </w:r>
          </w:p>
        </w:tc>
        <w:tc>
          <w:tcPr>
            <w:tcW w:type="dxa" w:w="2268"/>
          </w:tcPr>
          <w:p>
            <w:r>
              <w:rPr>
                <w:rFonts w:ascii="Calibri" w:hAnsi="Calibri"/>
                <w:b w:val="0"/>
                <w:color w:val="1A1A2E"/>
                <w:sz w:val="18"/>
              </w:rPr>
              <w:t>7</w:t>
            </w:r>
          </w:p>
        </w:tc>
        <w:tc>
          <w:tcPr>
            <w:tcW w:type="dxa" w:w="2268"/>
          </w:tcPr>
          <w:p>
            <w:r>
              <w:rPr>
                <w:rFonts w:ascii="Calibri" w:hAnsi="Calibri"/>
                <w:b w:val="0"/>
                <w:color w:val="1A1A2E"/>
                <w:sz w:val="18"/>
              </w:rPr>
              <w:t>9</w:t>
            </w:r>
          </w:p>
        </w:tc>
        <w:tc>
          <w:tcPr>
            <w:tcW w:type="dxa" w:w="2268"/>
          </w:tcPr>
          <w:p>
            <w:r>
              <w:rPr>
                <w:rFonts w:ascii="Calibri" w:hAnsi="Calibri"/>
                <w:b w:val="0"/>
                <w:color w:val="1A1A2E"/>
                <w:sz w:val="18"/>
              </w:rPr>
              <w:t>9+</w:t>
            </w:r>
          </w:p>
        </w:tc>
      </w:tr>
    </w:tbl>
    <w:p>
      <w:pPr>
        <w:spacing w:after="120"/>
      </w:pPr>
      <w:r>
        <w:rPr>
          <w:rFonts w:ascii="Calibri" w:hAnsi="Calibri"/>
          <w:b w:val="0"/>
          <w:i/>
          <w:sz w:val="16"/>
        </w:rPr>
        <w:t>Sources: Partech Africa 2025 Report, Empower Africa, TechCabal, Disrupt Africa 2025</w:t>
      </w:r>
    </w:p>
    <w:p>
      <w:pPr>
        <w:pStyle w:val="Heading2"/>
      </w:pPr>
      <w:r>
        <w:t>2.3 The Big Four Markets</w:t>
      </w:r>
    </w:p>
    <w:p>
      <w:pPr>
        <w:spacing w:after="120"/>
      </w:pPr>
      <w:r>
        <w:rPr>
          <w:rFonts w:ascii="Calibri" w:hAnsi="Calibri"/>
          <w:b w:val="0"/>
          <w:i w:val="0"/>
          <w:sz w:val="20"/>
        </w:rPr>
        <w:t>African fintech investment is concentrated in four dominant hubs. Understanding the distinct profiles of each market is essential because the regulatory environment, investor community, infrastructure constraints, and competitive dynamics differ substantially across all four.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shd w:fill="003D6B" w:val="clear"/>
          </w:tcPr>
          <w:p>
            <w:pPr>
              <w:jc w:val="left"/>
            </w:pPr>
            <w:r>
              <w:rPr>
                <w:rFonts w:ascii="Calibri" w:hAnsi="Calibri"/>
                <w:b/>
                <w:color w:val="FFFFFF"/>
                <w:sz w:val="18"/>
              </w:rPr>
              <w:t>Market</w:t>
            </w:r>
          </w:p>
        </w:tc>
        <w:tc>
          <w:tcPr>
            <w:tcW w:type="dxa" w:w="2268"/>
            <w:shd w:fill="003D6B" w:val="clear"/>
          </w:tcPr>
          <w:p>
            <w:pPr>
              <w:jc w:val="left"/>
            </w:pPr>
            <w:r>
              <w:rPr>
                <w:rFonts w:ascii="Calibri" w:hAnsi="Calibri"/>
                <w:b/>
                <w:color w:val="FFFFFF"/>
                <w:sz w:val="18"/>
              </w:rPr>
              <w:t>2025 Funding</w:t>
            </w:r>
          </w:p>
        </w:tc>
        <w:tc>
          <w:tcPr>
            <w:tcW w:type="dxa" w:w="3402"/>
            <w:shd w:fill="003D6B" w:val="clear"/>
          </w:tcPr>
          <w:p>
            <w:pPr>
              <w:jc w:val="left"/>
            </w:pPr>
            <w:r>
              <w:rPr>
                <w:rFonts w:ascii="Calibri" w:hAnsi="Calibri"/>
                <w:b/>
                <w:color w:val="FFFFFF"/>
                <w:sz w:val="18"/>
              </w:rPr>
              <w:t>Key Advantage</w:t>
            </w:r>
          </w:p>
        </w:tc>
        <w:tc>
          <w:tcPr>
            <w:tcW w:type="dxa" w:w="3118"/>
            <w:shd w:fill="003D6B" w:val="clear"/>
          </w:tcPr>
          <w:p>
            <w:pPr>
              <w:jc w:val="left"/>
            </w:pPr>
            <w:r>
              <w:rPr>
                <w:rFonts w:ascii="Calibri" w:hAnsi="Calibri"/>
                <w:b/>
                <w:color w:val="FFFFFF"/>
                <w:sz w:val="18"/>
              </w:rPr>
              <w:t>Fintech Focus</w:t>
            </w:r>
          </w:p>
        </w:tc>
        <w:tc>
          <w:tcPr>
            <w:tcW w:type="dxa" w:w="1728"/>
          </w:tcPr>
          <w:p/>
        </w:tc>
      </w:tr>
      <w:tr>
        <w:tc>
          <w:tcPr>
            <w:tcW w:type="dxa" w:w="1984"/>
          </w:tcPr>
          <w:p>
            <w:r>
              <w:rPr>
                <w:rFonts w:ascii="Calibri" w:hAnsi="Calibri"/>
                <w:b/>
                <w:color w:val="1A1A2E"/>
                <w:sz w:val="17"/>
              </w:rPr>
              <w:t>Nigeria</w:t>
            </w:r>
          </w:p>
        </w:tc>
        <w:tc>
          <w:tcPr>
            <w:tcW w:type="dxa" w:w="2268"/>
          </w:tcPr>
          <w:p>
            <w:r>
              <w:rPr>
                <w:rFonts w:ascii="Calibri" w:hAnsi="Calibri"/>
                <w:b w:val="0"/>
                <w:color w:val="1A1A2E"/>
                <w:sz w:val="17"/>
              </w:rPr>
              <w:t>$464.8M (28.4%)</w:t>
            </w:r>
          </w:p>
        </w:tc>
        <w:tc>
          <w:tcPr>
            <w:tcW w:type="dxa" w:w="3402"/>
          </w:tcPr>
          <w:p>
            <w:r>
              <w:rPr>
                <w:rFonts w:ascii="Calibri" w:hAnsi="Calibri"/>
                <w:b w:val="0"/>
                <w:color w:val="1A1A2E"/>
                <w:sz w:val="17"/>
              </w:rPr>
              <w:t>Largest market, CBN open banking framework</w:t>
            </w:r>
          </w:p>
        </w:tc>
        <w:tc>
          <w:tcPr>
            <w:tcW w:type="dxa" w:w="3118"/>
          </w:tcPr>
          <w:p>
            <w:r>
              <w:rPr>
                <w:rFonts w:ascii="Calibri" w:hAnsi="Calibri"/>
                <w:b w:val="0"/>
                <w:color w:val="1A1A2E"/>
                <w:sz w:val="17"/>
              </w:rPr>
              <w:t>Payments, lending, wealthtech, AI fintech</w:t>
            </w:r>
          </w:p>
        </w:tc>
        <w:tc>
          <w:tcPr>
            <w:tcW w:type="dxa" w:w="1728"/>
          </w:tcPr>
          <w:p/>
        </w:tc>
      </w:tr>
      <w:tr>
        <w:tc>
          <w:tcPr>
            <w:tcW w:type="dxa" w:w="1984"/>
          </w:tcPr>
          <w:p>
            <w:r>
              <w:rPr>
                <w:rFonts w:ascii="Calibri" w:hAnsi="Calibri"/>
                <w:b/>
                <w:color w:val="1A1A2E"/>
                <w:sz w:val="17"/>
              </w:rPr>
              <w:t>Egypt</w:t>
            </w:r>
          </w:p>
        </w:tc>
        <w:tc>
          <w:tcPr>
            <w:tcW w:type="dxa" w:w="2268"/>
          </w:tcPr>
          <w:p>
            <w:r>
              <w:rPr>
                <w:rFonts w:ascii="Calibri" w:hAnsi="Calibri"/>
                <w:b w:val="0"/>
                <w:color w:val="1A1A2E"/>
                <w:sz w:val="17"/>
              </w:rPr>
              <w:t>$378.95M</w:t>
            </w:r>
          </w:p>
        </w:tc>
        <w:tc>
          <w:tcPr>
            <w:tcW w:type="dxa" w:w="3402"/>
          </w:tcPr>
          <w:p>
            <w:r>
              <w:rPr>
                <w:rFonts w:ascii="Calibri" w:hAnsi="Calibri"/>
                <w:b w:val="0"/>
                <w:color w:val="1A1A2E"/>
                <w:sz w:val="17"/>
              </w:rPr>
              <w:t>105M population, supportive regulator</w:t>
            </w:r>
          </w:p>
        </w:tc>
        <w:tc>
          <w:tcPr>
            <w:tcW w:type="dxa" w:w="3118"/>
          </w:tcPr>
          <w:p>
            <w:r>
              <w:rPr>
                <w:rFonts w:ascii="Calibri" w:hAnsi="Calibri"/>
                <w:b w:val="0"/>
                <w:color w:val="1A1A2E"/>
                <w:sz w:val="17"/>
              </w:rPr>
              <w:t>Digital lending, payments, B2B fintech</w:t>
            </w:r>
          </w:p>
        </w:tc>
        <w:tc>
          <w:tcPr>
            <w:tcW w:type="dxa" w:w="1728"/>
          </w:tcPr>
          <w:p/>
        </w:tc>
      </w:tr>
      <w:tr>
        <w:tc>
          <w:tcPr>
            <w:tcW w:type="dxa" w:w="1984"/>
          </w:tcPr>
          <w:p>
            <w:r>
              <w:rPr>
                <w:rFonts w:ascii="Calibri" w:hAnsi="Calibri"/>
                <w:b/>
                <w:color w:val="1A1A2E"/>
                <w:sz w:val="17"/>
              </w:rPr>
              <w:t>South Africa</w:t>
            </w:r>
          </w:p>
        </w:tc>
        <w:tc>
          <w:tcPr>
            <w:tcW w:type="dxa" w:w="2268"/>
          </w:tcPr>
          <w:p>
            <w:r>
              <w:rPr>
                <w:rFonts w:ascii="Calibri" w:hAnsi="Calibri"/>
                <w:b w:val="0"/>
                <w:color w:val="1A1A2E"/>
                <w:sz w:val="17"/>
              </w:rPr>
              <w:t>$335.9M</w:t>
            </w:r>
          </w:p>
        </w:tc>
        <w:tc>
          <w:tcPr>
            <w:tcW w:type="dxa" w:w="3402"/>
          </w:tcPr>
          <w:p>
            <w:r>
              <w:rPr>
                <w:rFonts w:ascii="Calibri" w:hAnsi="Calibri"/>
                <w:b w:val="0"/>
                <w:color w:val="1A1A2E"/>
                <w:sz w:val="17"/>
              </w:rPr>
              <w:t>Most developed banking infra, POPIA</w:t>
            </w:r>
          </w:p>
        </w:tc>
        <w:tc>
          <w:tcPr>
            <w:tcW w:type="dxa" w:w="3118"/>
          </w:tcPr>
          <w:p>
            <w:r>
              <w:rPr>
                <w:rFonts w:ascii="Calibri" w:hAnsi="Calibri"/>
                <w:b w:val="0"/>
                <w:color w:val="1A1A2E"/>
                <w:sz w:val="17"/>
              </w:rPr>
              <w:t>Digital banking, wealth management, insurtech</w:t>
            </w:r>
          </w:p>
        </w:tc>
        <w:tc>
          <w:tcPr>
            <w:tcW w:type="dxa" w:w="1728"/>
          </w:tcPr>
          <w:p/>
        </w:tc>
      </w:tr>
      <w:tr>
        <w:tc>
          <w:tcPr>
            <w:tcW w:type="dxa" w:w="1984"/>
          </w:tcPr>
          <w:p>
            <w:r>
              <w:rPr>
                <w:rFonts w:ascii="Calibri" w:hAnsi="Calibri"/>
                <w:b/>
                <w:color w:val="1A1A2E"/>
                <w:sz w:val="17"/>
              </w:rPr>
              <w:t>Kenya</w:t>
            </w:r>
          </w:p>
        </w:tc>
        <w:tc>
          <w:tcPr>
            <w:tcW w:type="dxa" w:w="2268"/>
          </w:tcPr>
          <w:p>
            <w:r>
              <w:rPr>
                <w:rFonts w:ascii="Calibri" w:hAnsi="Calibri"/>
                <w:b w:val="0"/>
                <w:color w:val="1A1A2E"/>
                <w:sz w:val="17"/>
              </w:rPr>
              <w:t>$273.2M</w:t>
            </w:r>
          </w:p>
        </w:tc>
        <w:tc>
          <w:tcPr>
            <w:tcW w:type="dxa" w:w="3402"/>
          </w:tcPr>
          <w:p>
            <w:r>
              <w:rPr>
                <w:rFonts w:ascii="Calibri" w:hAnsi="Calibri"/>
                <w:b w:val="0"/>
                <w:color w:val="1A1A2E"/>
                <w:sz w:val="17"/>
              </w:rPr>
              <w:t>M-Pesa infrastructure, mobile money primacy</w:t>
            </w:r>
          </w:p>
        </w:tc>
        <w:tc>
          <w:tcPr>
            <w:tcW w:type="dxa" w:w="3118"/>
          </w:tcPr>
          <w:p>
            <w:r>
              <w:rPr>
                <w:rFonts w:ascii="Calibri" w:hAnsi="Calibri"/>
                <w:b w:val="0"/>
                <w:color w:val="1A1A2E"/>
                <w:sz w:val="17"/>
              </w:rPr>
              <w:t>Mobile money, lending, cross-border payments</w:t>
            </w:r>
          </w:p>
        </w:tc>
        <w:tc>
          <w:tcPr>
            <w:tcW w:type="dxa" w:w="1728"/>
          </w:tcPr>
          <w:p/>
        </w:tc>
      </w:tr>
    </w:tbl>
    <w:p>
      <w:pPr>
        <w:pStyle w:val="Heading2"/>
      </w:pPr>
      <w:r>
        <w:t>2.4 Structural Market Shifts Defining 2026</w:t>
      </w:r>
    </w:p>
    <w:p>
      <w:pPr>
        <w:pStyle w:val="ListBullet"/>
      </w:pPr>
      <w:r>
        <w:rPr>
          <w:rFonts w:ascii="Calibri" w:hAnsi="Calibri"/>
          <w:b/>
          <w:sz w:val="20"/>
        </w:rPr>
        <w:t xml:space="preserve">Profitability over growth: </w:t>
      </w:r>
      <w:r>
        <w:rPr>
          <w:rFonts w:ascii="Calibri" w:hAnsi="Calibri"/>
          <w:sz w:val="20"/>
        </w:rPr>
        <w:t xml:space="preserve"> The "growth at all costs" era is over. Investors demand unit economics, clear paths to profitability, and regulatory compliance as prerequisites for capital.</w:t>
      </w:r>
    </w:p>
    <w:p>
      <w:pPr>
        <w:pStyle w:val="ListBullet"/>
      </w:pPr>
      <w:r>
        <w:rPr>
          <w:rFonts w:ascii="Calibri" w:hAnsi="Calibri"/>
          <w:b/>
          <w:sz w:val="20"/>
        </w:rPr>
        <w:t xml:space="preserve">Harder conversion environment: </w:t>
      </w:r>
      <w:r>
        <w:rPr>
          <w:rFonts w:ascii="Calibri" w:hAnsi="Calibri"/>
          <w:sz w:val="20"/>
        </w:rPr>
        <w:t xml:space="preserve"> The number of fintech startups that raised seed in 2021 and successfully raised Series A within two years dropped to 5.1%. The bar for Series A is structurally higher.</w:t>
      </w:r>
    </w:p>
    <w:p>
      <w:pPr>
        <w:pStyle w:val="ListBullet"/>
      </w:pPr>
      <w:r>
        <w:rPr>
          <w:rFonts w:ascii="Calibri" w:hAnsi="Calibri"/>
          <w:b/>
          <w:sz w:val="20"/>
        </w:rPr>
        <w:t xml:space="preserve">Debt financing explosion: </w:t>
      </w:r>
      <w:r>
        <w:rPr>
          <w:rFonts w:ascii="Calibri" w:hAnsi="Calibri"/>
          <w:sz w:val="20"/>
        </w:rPr>
        <w:t xml:space="preserve"> Fintech debt financing surged 63% YoY in 2025 to a record $1.64 billion. Debt now accounts for 41% of all capital deployed in African tech, up from 17% in 2019.</w:t>
      </w:r>
    </w:p>
    <w:p>
      <w:pPr>
        <w:pStyle w:val="ListBullet"/>
      </w:pPr>
      <w:r>
        <w:rPr>
          <w:rFonts w:ascii="Calibri" w:hAnsi="Calibri"/>
          <w:b/>
          <w:sz w:val="20"/>
        </w:rPr>
        <w:t xml:space="preserve">Consolidation wave: </w:t>
      </w:r>
      <w:r>
        <w:rPr>
          <w:rFonts w:ascii="Calibri" w:hAnsi="Calibri"/>
          <w:sz w:val="20"/>
        </w:rPr>
        <w:t xml:space="preserve"> Flutterwave acquired Mono, Moniepoint acquired Sumac Microfinance Bank, Stitch acquired ExiPay. M&amp;A is now the primary mechanism for scaling across markets.</w:t>
      </w:r>
    </w:p>
    <w:p>
      <w:pPr>
        <w:pStyle w:val="ListBullet"/>
      </w:pPr>
      <w:r>
        <w:rPr>
          <w:rFonts w:ascii="Calibri" w:hAnsi="Calibri"/>
          <w:b/>
          <w:sz w:val="20"/>
        </w:rPr>
        <w:t xml:space="preserve">Open banking acceleration: </w:t>
      </w:r>
      <w:r>
        <w:rPr>
          <w:rFonts w:ascii="Calibri" w:hAnsi="Calibri"/>
          <w:sz w:val="20"/>
        </w:rPr>
        <w:t xml:space="preserve"> The CBN released its Open Banking Implementation Framework. Nigeria leads Africa in open banking. South Africa, Kenya, and Ghana are developing regulatory frameworks.</w:t>
      </w:r>
    </w:p>
    <w:p>
      <w:pPr>
        <w:pStyle w:val="ListBullet"/>
      </w:pPr>
      <w:r>
        <w:rPr>
          <w:rFonts w:ascii="Calibri" w:hAnsi="Calibri"/>
          <w:b/>
          <w:sz w:val="20"/>
        </w:rPr>
        <w:t xml:space="preserve">Pan-African payment rails: </w:t>
      </w:r>
      <w:r>
        <w:rPr>
          <w:rFonts w:ascii="Calibri" w:hAnsi="Calibri"/>
          <w:sz w:val="20"/>
        </w:rPr>
        <w:t xml:space="preserve"> PAPSS is live in 19 countries with 160+ banks, enabling cross-border payments in local currencies. PAPSSCARD launched as Africa's first continental card scheme in June 2025.</w:t>
      </w:r>
    </w:p>
    <w:p>
      <w:pPr>
        <w:pStyle w:val="ListBullet"/>
      </w:pPr>
      <w:r>
        <w:rPr>
          <w:rFonts w:ascii="Calibri" w:hAnsi="Calibri"/>
          <w:b/>
          <w:sz w:val="20"/>
        </w:rPr>
        <w:t xml:space="preserve">Regulatory maturation: </w:t>
      </w:r>
      <w:r>
        <w:rPr>
          <w:rFonts w:ascii="Calibri" w:hAnsi="Calibri"/>
          <w:sz w:val="20"/>
        </w:rPr>
        <w:t xml:space="preserve"> The CBN restricted POS agents to one financial institution and capped market share at 25% for card issuing. Regulatory sandboxes exist in 15 African countries.</w:t>
      </w:r>
    </w:p>
    <w:p>
      <w:r>
        <w:br w:type="page"/>
      </w:r>
    </w:p>
    <w:p>
      <w:pPr>
        <w:pStyle w:val="Heading1"/>
      </w:pPr>
      <w:r>
        <w:t>3. EcoFinwize Comprehensive Multi-Market Competitive Matrix (Updated 2026)</w:t>
      </w:r>
    </w:p>
    <w:p>
      <w:pPr>
        <w:spacing w:after="120"/>
      </w:pPr>
      <w:r>
        <w:rPr>
          <w:rFonts w:ascii="Calibri" w:hAnsi="Calibri"/>
          <w:b w:val="0"/>
          <w:i w:val="0"/>
          <w:sz w:val="20"/>
        </w:rPr>
        <w:t>The following matrix provides a rigorous, cross-sector analysis of every major competitive category in the African fintech ecosystem. For each sector, we identify market strengths, structural limitations, and the specific gap that EcoFinwize is uniquely positioned to address.</w:t>
      </w:r>
    </w:p>
    <w:p>
      <w:pPr>
        <w:pStyle w:val="Heading2"/>
      </w:pPr>
      <w:r>
        <w:t>3.1 Competitive Landscape Summary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01"/>
            <w:shd w:fill="003D6B" w:val="clear"/>
          </w:tcPr>
          <w:p>
            <w:pPr>
              <w:jc w:val="left"/>
            </w:pPr>
            <w:r>
              <w:rPr>
                <w:rFonts w:ascii="Calibri" w:hAnsi="Calibri"/>
                <w:b/>
                <w:color w:val="FFFFFF"/>
                <w:sz w:val="16"/>
              </w:rPr>
              <w:t>Sector</w:t>
            </w:r>
          </w:p>
        </w:tc>
        <w:tc>
          <w:tcPr>
            <w:tcW w:type="dxa" w:w="2551"/>
            <w:shd w:fill="003D6B" w:val="clear"/>
          </w:tcPr>
          <w:p>
            <w:pPr>
              <w:jc w:val="left"/>
            </w:pPr>
            <w:r>
              <w:rPr>
                <w:rFonts w:ascii="Calibri" w:hAnsi="Calibri"/>
                <w:b/>
                <w:color w:val="FFFFFF"/>
                <w:sz w:val="16"/>
              </w:rPr>
              <w:t>Dominant Players</w:t>
            </w:r>
          </w:p>
        </w:tc>
        <w:tc>
          <w:tcPr>
            <w:tcW w:type="dxa" w:w="2551"/>
            <w:shd w:fill="003D6B" w:val="clear"/>
          </w:tcPr>
          <w:p>
            <w:pPr>
              <w:jc w:val="left"/>
            </w:pPr>
            <w:r>
              <w:rPr>
                <w:rFonts w:ascii="Calibri" w:hAnsi="Calibri"/>
                <w:b/>
                <w:color w:val="FFFFFF"/>
                <w:sz w:val="16"/>
              </w:rPr>
              <w:t>Market Strengths</w:t>
            </w:r>
          </w:p>
        </w:tc>
        <w:tc>
          <w:tcPr>
            <w:tcW w:type="dxa" w:w="2551"/>
            <w:shd w:fill="003D6B" w:val="clear"/>
          </w:tcPr>
          <w:p>
            <w:pPr>
              <w:jc w:val="left"/>
            </w:pPr>
            <w:r>
              <w:rPr>
                <w:rFonts w:ascii="Calibri" w:hAnsi="Calibri"/>
                <w:b/>
                <w:color w:val="FFFFFF"/>
                <w:sz w:val="16"/>
              </w:rPr>
              <w:t>Key Limitation</w:t>
            </w:r>
          </w:p>
        </w:tc>
        <w:tc>
          <w:tcPr>
            <w:tcW w:type="dxa" w:w="2268"/>
            <w:shd w:fill="003D6B" w:val="clear"/>
          </w:tcPr>
          <w:p>
            <w:pPr>
              <w:jc w:val="left"/>
            </w:pPr>
            <w:r>
              <w:rPr>
                <w:rFonts w:ascii="Calibri" w:hAnsi="Calibri"/>
                <w:b/>
                <w:color w:val="FFFFFF"/>
                <w:sz w:val="16"/>
              </w:rPr>
              <w:t>EcoFinwize Opportunity</w:t>
            </w:r>
          </w:p>
        </w:tc>
      </w:tr>
      <w:tr>
        <w:tc>
          <w:tcPr>
            <w:tcW w:type="dxa" w:w="1701"/>
          </w:tcPr>
          <w:p>
            <w:r>
              <w:rPr>
                <w:rFonts w:ascii="Calibri" w:hAnsi="Calibri"/>
                <w:b/>
                <w:color w:val="1A1A2E"/>
                <w:sz w:val="15"/>
              </w:rPr>
              <w:t>Wealth Management</w:t>
            </w:r>
          </w:p>
        </w:tc>
        <w:tc>
          <w:tcPr>
            <w:tcW w:type="dxa" w:w="2551"/>
          </w:tcPr>
          <w:p>
            <w:r>
              <w:rPr>
                <w:rFonts w:ascii="Calibri" w:hAnsi="Calibri"/>
                <w:b w:val="0"/>
                <w:color w:val="1A1A2E"/>
                <w:sz w:val="15"/>
              </w:rPr>
              <w:t>PiggyVest (7M+ users)</w:t>
              <w:br/>
              <w:t>Cowrywise (2M+ users)</w:t>
              <w:br/>
              <w:t>Risevest (600K+ users)</w:t>
              <w:br/>
              <w:t>Bamboo (500K+ users)</w:t>
              <w:br/>
              <w:t>Trove (500K+ users)</w:t>
            </w:r>
          </w:p>
        </w:tc>
        <w:tc>
          <w:tcPr>
            <w:tcW w:type="dxa" w:w="2551"/>
          </w:tcPr>
          <w:p>
            <w:r>
              <w:rPr>
                <w:rFonts w:ascii="Calibri" w:hAnsi="Calibri"/>
                <w:b w:val="0"/>
                <w:color w:val="1A1A2E"/>
                <w:sz w:val="15"/>
              </w:rPr>
              <w:t>Strong regulatory partnerships</w:t>
              <w:br/>
              <w:t>SEC-licensed fund managers</w:t>
              <w:br/>
              <w:t>Mature investment infrastructure</w:t>
              <w:br/>
              <w:t>High customer trust</w:t>
            </w:r>
          </w:p>
        </w:tc>
        <w:tc>
          <w:tcPr>
            <w:tcW w:type="dxa" w:w="2551"/>
          </w:tcPr>
          <w:p>
            <w:r>
              <w:rPr>
                <w:rFonts w:ascii="Calibri" w:hAnsi="Calibri"/>
                <w:b w:val="0"/>
                <w:color w:val="1A1A2E"/>
                <w:sz w:val="15"/>
              </w:rPr>
              <w:t>Assume predictable salaries/formal employment</w:t>
              <w:br/>
              <w:t>Advisory is educational, not conversational</w:t>
              <w:br/>
              <w:t>No irregular income adaptation</w:t>
            </w:r>
          </w:p>
        </w:tc>
        <w:tc>
          <w:tcPr>
            <w:tcW w:type="dxa" w:w="2268"/>
          </w:tcPr>
          <w:p>
            <w:r>
              <w:rPr>
                <w:rFonts w:ascii="Calibri" w:hAnsi="Calibri"/>
                <w:b w:val="0"/>
                <w:color w:val="1A1A2E"/>
                <w:sz w:val="15"/>
              </w:rPr>
              <w:t>Serve pre-investment advisory</w:t>
              <w:br/>
              <w:t>Adaptive budgeting for irregular income</w:t>
              <w:br/>
              <w:t>Conversational financial guidance</w:t>
              <w:br/>
              <w:t>Partner rather than compete</w:t>
            </w:r>
          </w:p>
        </w:tc>
      </w:tr>
      <w:tr>
        <w:tc>
          <w:tcPr>
            <w:tcW w:type="dxa" w:w="1701"/>
          </w:tcPr>
          <w:p>
            <w:r>
              <w:rPr>
                <w:rFonts w:ascii="Calibri" w:hAnsi="Calibri"/>
                <w:b/>
                <w:color w:val="1A1A2E"/>
                <w:sz w:val="15"/>
              </w:rPr>
              <w:t>Digital Banks &amp; Super Apps</w:t>
            </w:r>
          </w:p>
        </w:tc>
        <w:tc>
          <w:tcPr>
            <w:tcW w:type="dxa" w:w="2551"/>
          </w:tcPr>
          <w:p>
            <w:r>
              <w:rPr>
                <w:rFonts w:ascii="Calibri" w:hAnsi="Calibri"/>
                <w:b w:val="0"/>
                <w:color w:val="1A1A2E"/>
                <w:sz w:val="15"/>
              </w:rPr>
              <w:t>OPay (50M+ users, $4B IPO planned)</w:t>
              <w:br/>
              <w:t>PalmPay (35M+ users)</w:t>
              <w:br/>
              <w:t>Moniepoint (20M+ users, ₦412T processed)</w:t>
              <w:br/>
              <w:t>Kuda (7M+ users)</w:t>
              <w:br/>
              <w:t>Carbon (5M+ users)</w:t>
            </w:r>
          </w:p>
        </w:tc>
        <w:tc>
          <w:tcPr>
            <w:tcW w:type="dxa" w:w="2551"/>
          </w:tcPr>
          <w:p>
            <w:r>
              <w:rPr>
                <w:rFonts w:ascii="Calibri" w:hAnsi="Calibri"/>
                <w:b w:val="0"/>
                <w:color w:val="1A1A2E"/>
                <w:sz w:val="15"/>
              </w:rPr>
              <w:t>Massive distribution</w:t>
              <w:br/>
              <w:t>Real-time payments</w:t>
              <w:br/>
              <w:t>Agent banking networks</w:t>
              <w:br/>
              <w:t>Debit cards, lending</w:t>
            </w:r>
          </w:p>
        </w:tc>
        <w:tc>
          <w:tcPr>
            <w:tcW w:type="dxa" w:w="2551"/>
          </w:tcPr>
          <w:p>
            <w:r>
              <w:rPr>
                <w:rFonts w:ascii="Calibri" w:hAnsi="Calibri"/>
                <w:b w:val="0"/>
                <w:color w:val="1A1A2E"/>
                <w:sz w:val="15"/>
              </w:rPr>
              <w:t>AI = operational (transfers/support)</w:t>
              <w:br/>
              <w:t>No long-term financial planning</w:t>
              <w:br/>
              <w:t>No SME mentorship</w:t>
              <w:br/>
              <w:t>No investment education</w:t>
            </w:r>
          </w:p>
        </w:tc>
        <w:tc>
          <w:tcPr>
            <w:tcW w:type="dxa" w:w="2268"/>
          </w:tcPr>
          <w:p>
            <w:r>
              <w:rPr>
                <w:rFonts w:ascii="Calibri" w:hAnsi="Calibri"/>
                <w:b w:val="0"/>
                <w:color w:val="1A1A2E"/>
                <w:sz w:val="15"/>
              </w:rPr>
              <w:t>Platform-agnostic advisory layer</w:t>
              <w:br/>
              <w:t>Complement digital banking</w:t>
              <w:br/>
              <w:t>Multi-bank intelligence</w:t>
              <w:br/>
              <w:t>Open banking integration</w:t>
            </w:r>
          </w:p>
        </w:tc>
      </w:tr>
      <w:tr>
        <w:tc>
          <w:tcPr>
            <w:tcW w:type="dxa" w:w="1701"/>
          </w:tcPr>
          <w:p>
            <w:r>
              <w:rPr>
                <w:rFonts w:ascii="Calibri" w:hAnsi="Calibri"/>
                <w:b/>
                <w:color w:val="1A1A2E"/>
                <w:sz w:val="15"/>
              </w:rPr>
              <w:t>SME Business Tools</w:t>
            </w:r>
          </w:p>
        </w:tc>
        <w:tc>
          <w:tcPr>
            <w:tcW w:type="dxa" w:w="2551"/>
          </w:tcPr>
          <w:p>
            <w:r>
              <w:rPr>
                <w:rFonts w:ascii="Calibri" w:hAnsi="Calibri"/>
                <w:b w:val="0"/>
                <w:color w:val="1A1A2E"/>
                <w:sz w:val="15"/>
              </w:rPr>
              <w:t>Bumpa, Oze, Dukka</w:t>
              <w:br/>
              <w:t>Zoho Books, QuickBooks</w:t>
              <w:br/>
              <w:t>PaidHR</w:t>
            </w:r>
          </w:p>
        </w:tc>
        <w:tc>
          <w:tcPr>
            <w:tcW w:type="dxa" w:w="2551"/>
          </w:tcPr>
          <w:p>
            <w:r>
              <w:rPr>
                <w:rFonts w:ascii="Calibri" w:hAnsi="Calibri"/>
                <w:b w:val="0"/>
                <w:color w:val="1A1A2E"/>
                <w:sz w:val="15"/>
              </w:rPr>
              <w:t>Inventory tracking</w:t>
              <w:br/>
              <w:t>Bookkeeping</w:t>
              <w:br/>
              <w:t>Invoicing &amp; payroll</w:t>
              <w:br/>
              <w:t>Accounting &amp; reporting</w:t>
            </w:r>
          </w:p>
        </w:tc>
        <w:tc>
          <w:tcPr>
            <w:tcW w:type="dxa" w:w="2551"/>
          </w:tcPr>
          <w:p>
            <w:r>
              <w:rPr>
                <w:rFonts w:ascii="Calibri" w:hAnsi="Calibri"/>
                <w:b w:val="0"/>
                <w:color w:val="1A1A2E"/>
                <w:sz w:val="15"/>
              </w:rPr>
              <w:t>Manual data entry burden</w:t>
              <w:br/>
              <w:t>High abandonment rates</w:t>
              <w:br/>
              <w:t>Steep learning curve</w:t>
              <w:br/>
              <w:t>No AI-assisted workflows</w:t>
            </w:r>
          </w:p>
        </w:tc>
        <w:tc>
          <w:tcPr>
            <w:tcW w:type="dxa" w:w="2268"/>
          </w:tcPr>
          <w:p>
            <w:r>
              <w:rPr>
                <w:rFonts w:ascii="Calibri" w:hAnsi="Calibri"/>
                <w:b w:val="0"/>
                <w:color w:val="1A1A2E"/>
                <w:sz w:val="15"/>
              </w:rPr>
              <w:t>Conversational bookkeeping</w:t>
              <w:br/>
              <w:t>Voice-to-record transactions</w:t>
              <w:br/>
              <w:t>AI-powered business planning</w:t>
              <w:br/>
              <w:t>Lower barrier for informal SMEs</w:t>
            </w:r>
          </w:p>
        </w:tc>
      </w:tr>
      <w:tr>
        <w:tc>
          <w:tcPr>
            <w:tcW w:type="dxa" w:w="1701"/>
          </w:tcPr>
          <w:p>
            <w:r>
              <w:rPr>
                <w:rFonts w:ascii="Calibri" w:hAnsi="Calibri"/>
                <w:b/>
                <w:color w:val="1A1A2E"/>
                <w:sz w:val="15"/>
              </w:rPr>
              <w:t>Banking AI / Chatbots</w:t>
            </w:r>
          </w:p>
        </w:tc>
        <w:tc>
          <w:tcPr>
            <w:tcW w:type="dxa" w:w="2551"/>
          </w:tcPr>
          <w:p>
            <w:r>
              <w:rPr>
                <w:rFonts w:ascii="Calibri" w:hAnsi="Calibri"/>
                <w:b w:val="0"/>
                <w:color w:val="1A1A2E"/>
                <w:sz w:val="15"/>
              </w:rPr>
              <w:t>UBA Leo</w:t>
              <w:br/>
              <w:t>Access Bank AI</w:t>
              <w:br/>
              <w:t>OPay AI Support</w:t>
            </w:r>
          </w:p>
        </w:tc>
        <w:tc>
          <w:tcPr>
            <w:tcW w:type="dxa" w:w="2551"/>
          </w:tcPr>
          <w:p>
            <w:r>
              <w:rPr>
                <w:rFonts w:ascii="Calibri" w:hAnsi="Calibri"/>
                <w:b w:val="0"/>
                <w:color w:val="1A1A2E"/>
                <w:sz w:val="15"/>
              </w:rPr>
              <w:t>Rule-based operational efficiency</w:t>
              <w:br/>
              <w:t>Integrated with banking systems</w:t>
              <w:br/>
              <w:t>Customer support automation</w:t>
            </w:r>
          </w:p>
        </w:tc>
        <w:tc>
          <w:tcPr>
            <w:tcW w:type="dxa" w:w="2551"/>
          </w:tcPr>
          <w:p>
            <w:r>
              <w:rPr>
                <w:rFonts w:ascii="Calibri" w:hAnsi="Calibri"/>
                <w:b w:val="0"/>
                <w:color w:val="1A1A2E"/>
                <w:sz w:val="15"/>
              </w:rPr>
              <w:t>No deep financial advisory</w:t>
              <w:br/>
              <w:t>No contextual reasoning</w:t>
              <w:br/>
              <w:t>No financial coaching</w:t>
              <w:br/>
              <w:t>No regulatory intelligence</w:t>
            </w:r>
          </w:p>
        </w:tc>
        <w:tc>
          <w:tcPr>
            <w:tcW w:type="dxa" w:w="2268"/>
          </w:tcPr>
          <w:p>
            <w:r>
              <w:rPr>
                <w:rFonts w:ascii="Calibri" w:hAnsi="Calibri"/>
                <w:b w:val="0"/>
                <w:color w:val="1A1A2E"/>
                <w:sz w:val="15"/>
              </w:rPr>
              <w:t>RAG-grounded advisory</w:t>
              <w:br/>
              <w:t>Explainable AI with citations</w:t>
              <w:br/>
              <w:t>Multi-persona expertise</w:t>
              <w:br/>
              <w:t>Financial education integration</w:t>
            </w:r>
          </w:p>
        </w:tc>
      </w:tr>
      <w:tr>
        <w:tc>
          <w:tcPr>
            <w:tcW w:type="dxa" w:w="1701"/>
          </w:tcPr>
          <w:p>
            <w:r>
              <w:rPr>
                <w:rFonts w:ascii="Calibri" w:hAnsi="Calibri"/>
                <w:b/>
                <w:color w:val="1A1A2E"/>
                <w:sz w:val="15"/>
              </w:rPr>
              <w:t>General AI Assistants</w:t>
            </w:r>
          </w:p>
        </w:tc>
        <w:tc>
          <w:tcPr>
            <w:tcW w:type="dxa" w:w="2551"/>
          </w:tcPr>
          <w:p>
            <w:r>
              <w:rPr>
                <w:rFonts w:ascii="Calibri" w:hAnsi="Calibri"/>
                <w:b w:val="0"/>
                <w:color w:val="1A1A2E"/>
                <w:sz w:val="15"/>
              </w:rPr>
              <w:t>ChatGPT, Claude, Gemini</w:t>
              <w:br/>
              <w:t>Microsoft Copilot</w:t>
              <w:br/>
              <w:t>Perplexity</w:t>
            </w:r>
          </w:p>
        </w:tc>
        <w:tc>
          <w:tcPr>
            <w:tcW w:type="dxa" w:w="2551"/>
          </w:tcPr>
          <w:p>
            <w:r>
              <w:rPr>
                <w:rFonts w:ascii="Calibri" w:hAnsi="Calibri"/>
                <w:b w:val="0"/>
                <w:color w:val="1A1A2E"/>
                <w:sz w:val="15"/>
              </w:rPr>
              <w:t>Broad general knowledge</w:t>
              <w:br/>
              <w:t>Advanced reasoning</w:t>
              <w:br/>
              <w:t>Massive user bases</w:t>
              <w:br/>
              <w:t>Rapid improvement cycles</w:t>
            </w:r>
          </w:p>
        </w:tc>
        <w:tc>
          <w:tcPr>
            <w:tcW w:type="dxa" w:w="2551"/>
          </w:tcPr>
          <w:p>
            <w:r>
              <w:rPr>
                <w:rFonts w:ascii="Calibri" w:hAnsi="Calibri"/>
                <w:b w:val="0"/>
                <w:color w:val="1A1A2E"/>
                <w:sz w:val="15"/>
              </w:rPr>
              <w:t>Not Africa-specific</w:t>
              <w:br/>
              <w:t>No local tax/regulatory knowledge</w:t>
              <w:br/>
              <w:t>No African financial products</w:t>
              <w:br/>
              <w:t>No SME compliance guidance</w:t>
            </w:r>
          </w:p>
        </w:tc>
        <w:tc>
          <w:tcPr>
            <w:tcW w:type="dxa" w:w="2268"/>
          </w:tcPr>
          <w:p>
            <w:r>
              <w:rPr>
                <w:rFonts w:ascii="Calibri" w:hAnsi="Calibri"/>
                <w:b w:val="0"/>
                <w:color w:val="1A1A2E"/>
                <w:sz w:val="15"/>
              </w:rPr>
              <w:t>Domain-specific localization</w:t>
              <w:br/>
              <w:t>African regulatory intelligence</w:t>
              <w:br/>
              <w:t>13 African languages</w:t>
              <w:br/>
              <w:t>Actionable financial tools</w:t>
            </w:r>
          </w:p>
        </w:tc>
      </w:tr>
      <w:tr>
        <w:tc>
          <w:tcPr>
            <w:tcW w:type="dxa" w:w="1701"/>
          </w:tcPr>
          <w:p>
            <w:r>
              <w:rPr>
                <w:rFonts w:ascii="Calibri" w:hAnsi="Calibri"/>
                <w:b/>
                <w:color w:val="1A1A2E"/>
                <w:sz w:val="15"/>
              </w:rPr>
              <w:t>Financial Education</w:t>
            </w:r>
          </w:p>
        </w:tc>
        <w:tc>
          <w:tcPr>
            <w:tcW w:type="dxa" w:w="2551"/>
          </w:tcPr>
          <w:p>
            <w:r>
              <w:rPr>
                <w:rFonts w:ascii="Calibri" w:hAnsi="Calibri"/>
                <w:b w:val="0"/>
                <w:color w:val="1A1A2E"/>
                <w:sz w:val="15"/>
              </w:rPr>
              <w:t>Money Africa</w:t>
              <w:br/>
              <w:t>Clever Girl Finance</w:t>
              <w:br/>
              <w:t>Nairametrics Learning</w:t>
            </w:r>
          </w:p>
        </w:tc>
        <w:tc>
          <w:tcPr>
            <w:tcW w:type="dxa" w:w="2551"/>
          </w:tcPr>
          <w:p>
            <w:r>
              <w:rPr>
                <w:rFonts w:ascii="Calibri" w:hAnsi="Calibri"/>
                <w:b w:val="0"/>
                <w:color w:val="1A1A2E"/>
                <w:sz w:val="15"/>
              </w:rPr>
              <w:t>Structured learning content</w:t>
              <w:br/>
              <w:t>Growing user engagement</w:t>
              <w:br/>
              <w:t>Brand authority</w:t>
            </w:r>
          </w:p>
        </w:tc>
        <w:tc>
          <w:tcPr>
            <w:tcW w:type="dxa" w:w="2551"/>
          </w:tcPr>
          <w:p>
            <w:r>
              <w:rPr>
                <w:rFonts w:ascii="Calibri" w:hAnsi="Calibri"/>
                <w:b w:val="0"/>
                <w:color w:val="1A1A2E"/>
                <w:sz w:val="15"/>
              </w:rPr>
              <w:t>Passive learning only</w:t>
              <w:br/>
              <w:t>No connection to action</w:t>
              <w:br/>
              <w:t>No practical tools integration</w:t>
              <w:br/>
              <w:t>No personalized guidance</w:t>
            </w:r>
          </w:p>
        </w:tc>
        <w:tc>
          <w:tcPr>
            <w:tcW w:type="dxa" w:w="2268"/>
          </w:tcPr>
          <w:p>
            <w:r>
              <w:rPr>
                <w:rFonts w:ascii="Calibri" w:hAnsi="Calibri"/>
                <w:b w:val="0"/>
                <w:color w:val="1A1A2E"/>
                <w:sz w:val="15"/>
              </w:rPr>
              <w:t>Learning + execution integration</w:t>
              <w:br/>
              <w:t>AI-tutored financial education</w:t>
              <w:br/>
              <w:t>Real-world tool application</w:t>
              <w:br/>
              <w:t>Progress-linked achievements</w:t>
            </w:r>
          </w:p>
        </w:tc>
      </w:tr>
      <w:tr>
        <w:tc>
          <w:tcPr>
            <w:tcW w:type="dxa" w:w="1701"/>
          </w:tcPr>
          <w:p>
            <w:r>
              <w:rPr>
                <w:rFonts w:ascii="Calibri" w:hAnsi="Calibri"/>
                <w:b/>
                <w:color w:val="1A1A2E"/>
                <w:sz w:val="15"/>
              </w:rPr>
              <w:t>Global AI Financial Copilots</w:t>
            </w:r>
          </w:p>
        </w:tc>
        <w:tc>
          <w:tcPr>
            <w:tcW w:type="dxa" w:w="2551"/>
          </w:tcPr>
          <w:p>
            <w:r>
              <w:rPr>
                <w:rFonts w:ascii="Calibri" w:hAnsi="Calibri"/>
                <w:b w:val="0"/>
                <w:color w:val="1A1A2E"/>
                <w:sz w:val="15"/>
              </w:rPr>
              <w:t>Cleo ($400M ARR, 7M+ users)</w:t>
              <w:br/>
              <w:t>Monarch Money ($14.99/mo)</w:t>
              <w:br/>
              <w:t>Rocket Money</w:t>
              <w:br/>
              <w:t>Copilot Money ($13/mo)</w:t>
              <w:br/>
              <w:t>Origin</w:t>
            </w:r>
          </w:p>
        </w:tc>
        <w:tc>
          <w:tcPr>
            <w:tcW w:type="dxa" w:w="2551"/>
          </w:tcPr>
          <w:p>
            <w:r>
              <w:rPr>
                <w:rFonts w:ascii="Calibri" w:hAnsi="Calibri"/>
                <w:b w:val="0"/>
                <w:color w:val="1A1A2E"/>
                <w:sz w:val="15"/>
              </w:rPr>
              <w:t>Advanced AI/ML features</w:t>
              <w:br/>
              <w:t>Agentic architecture (Cleo 3.0)</w:t>
              <w:br/>
              <w:t>Real-time voice conversations</w:t>
              <w:br/>
              <w:t>Transaction categorization &gt;95%</w:t>
            </w:r>
          </w:p>
        </w:tc>
        <w:tc>
          <w:tcPr>
            <w:tcW w:type="dxa" w:w="2551"/>
          </w:tcPr>
          <w:p>
            <w:r>
              <w:rPr>
                <w:rFonts w:ascii="Calibri" w:hAnsi="Calibri"/>
                <w:b w:val="0"/>
                <w:color w:val="1A1A2E"/>
                <w:sz w:val="15"/>
              </w:rPr>
              <w:t>US/Europe optimized</w:t>
              <w:br/>
              <w:t>Assume Plaid/open banking coverage</w:t>
              <w:br/>
              <w:t>No emerging economy features</w:t>
              <w:br/>
              <w:t>No irregular income handling</w:t>
            </w:r>
          </w:p>
        </w:tc>
        <w:tc>
          <w:tcPr>
            <w:tcW w:type="dxa" w:w="2268"/>
          </w:tcPr>
          <w:p>
            <w:r>
              <w:rPr>
                <w:rFonts w:ascii="Calibri" w:hAnsi="Calibri"/>
                <w:b w:val="0"/>
                <w:color w:val="1A1A2E"/>
                <w:sz w:val="15"/>
              </w:rPr>
              <w:t>Emerging-market specialization</w:t>
              <w:br/>
              <w:t>Offline/low-bandwidth design</w:t>
              <w:br/>
              <w:t>13-language i18n</w:t>
              <w:br/>
              <w:t>SME-specific tools</w:t>
              <w:br/>
              <w:t>Affordable AI delivery</w:t>
            </w:r>
          </w:p>
        </w:tc>
      </w:tr>
    </w:tbl>
    <w:p>
      <w:r>
        <w:br w:type="page"/>
      </w:r>
    </w:p>
    <w:p>
      <w:pPr>
        <w:pStyle w:val="Heading1"/>
      </w:pPr>
      <w:r>
        <w:t>4. Deep-Dive Sector Analysis</w:t>
      </w:r>
    </w:p>
    <w:p>
      <w:pPr>
        <w:pStyle w:val="Heading2"/>
      </w:pPr>
      <w:r>
        <w:t>4.1 Wealth Management Platforms</w:t>
      </w:r>
    </w:p>
    <w:p>
      <w:pPr>
        <w:pStyle w:val="Heading3"/>
      </w:pPr>
      <w:r>
        <w:t>Market Leaders</w:t>
      </w:r>
    </w:p>
    <w:p>
      <w:pPr>
        <w:spacing w:after="120"/>
      </w:pPr>
      <w:r>
        <w:rPr>
          <w:rFonts w:ascii="Calibri" w:hAnsi="Calibri"/>
          <w:b w:val="0"/>
          <w:i w:val="0"/>
          <w:sz w:val="20"/>
        </w:rPr>
        <w:t>The Nigerian wealthtech sector has become one of African fintech's most successful verticals. PiggyVest has surpassed 7 million users and paid out ₦1.3 trillion in 2025 (up 56% from ₦835 billion in 2024). Cowrywise crossed 2 million users and launched stock trading in March 2025 following ISA reforms, gaining 12,000 new accounts in one week. Risevest operates across five African countries with over 600,000 users and $42 million in payouts. Bamboo and Trove each serve 500,000+ users with access to US and Nigerian equities.</w:t>
      </w:r>
    </w:p>
    <w:p>
      <w:pPr>
        <w:pStyle w:val="Heading3"/>
      </w:pPr>
      <w:r>
        <w:t>Structural Gap</w:t>
      </w:r>
    </w:p>
    <w:p>
      <w:pPr>
        <w:spacing w:after="120"/>
      </w:pPr>
      <w:r>
        <w:rPr>
          <w:rFonts w:ascii="Calibri" w:hAnsi="Calibri"/>
          <w:b w:val="0"/>
          <w:i w:val="0"/>
          <w:sz w:val="20"/>
        </w:rPr>
        <w:t>These platforms excel at wealth accumulation for users with disposable income, but they assume predictable monthly salaries, fixed saving schedules, and formal employment. The approximately 60 million financially excluded or underserved Nigerian adults (EFInA 2025) — freelancers, gig workers, informal sector participants, and micro-entrepreneurs — require a fundamentally different financial approach. None of these platforms offers conversational AI advisory, adaptive budgeting for irregular income, or integrated financial education that bridges financial literacy with practical execution.</w:t>
      </w:r>
    </w:p>
    <w:p>
      <w:pPr>
        <w:pStyle w:val="Heading3"/>
      </w:pPr>
      <w:r>
        <w:t>EcoFinwize Strategic Position</w:t>
      </w:r>
    </w:p>
    <w:p>
      <w:pPr>
        <w:spacing w:after="120"/>
      </w:pPr>
      <w:r>
        <w:rPr>
          <w:rFonts w:ascii="Calibri" w:hAnsi="Calibri"/>
          <w:b w:val="0"/>
          <w:i w:val="0"/>
          <w:sz w:val="20"/>
        </w:rPr>
        <w:t>EcoFinwize addresses the earlier stages of financial decision-making: understanding cash flow, building sustainable budgets, preparing for investments, improving financial literacy, and growing business income before investing. The adaptive budgeting algorithm dynamically adjusts savings recommendations based on fluctuating income patterns. Rather than competing for investment assets, EcoFinwize becomes the trusted advisor that prepares users for investment — creating partnership opportunities with platforms like PiggyVest, Cowrywise, and Risevest.</w:t>
      </w:r>
    </w:p>
    <w:p>
      <w:pPr>
        <w:pStyle w:val="Heading2"/>
      </w:pPr>
      <w:r>
        <w:t>4.2 Digital Banks &amp; Super Apps</w:t>
      </w:r>
    </w:p>
    <w:p>
      <w:pPr>
        <w:pStyle w:val="Heading3"/>
      </w:pPr>
      <w:r>
        <w:t>Market Leaders</w:t>
      </w:r>
    </w:p>
    <w:p>
      <w:pPr>
        <w:spacing w:after="120"/>
      </w:pPr>
      <w:r>
        <w:rPr>
          <w:rFonts w:ascii="Calibri" w:hAnsi="Calibri"/>
          <w:b w:val="0"/>
          <w:i w:val="0"/>
          <w:sz w:val="20"/>
        </w:rPr>
        <w:t>Nigeria's "Fintech Six" — Moniepoint, OPay, PalmPay, Kuda, Carbon, and FairMoney — now serve a combined estimated 160+ million registered users (with significant overlap). OPay is preparing a $4 billion US IPO (H2 2026), with 50 million+ users and ~$12 billion monthly transaction volume. Moniepoint processed ₦412 trillion in 2025, claiming ~80% of Nigeria's in-person payments. Kuda reached 7 million users with ₦14.3 trillion in Q1 2025 transactions. PalmPay hit 35 million users with 15 million daily transactions.</w:t>
      </w:r>
    </w:p>
    <w:p>
      <w:pPr>
        <w:pStyle w:val="Heading3"/>
      </w:pPr>
      <w:r>
        <w:t>Structural Gap</w:t>
      </w:r>
    </w:p>
    <w:p>
      <w:pPr>
        <w:spacing w:after="120"/>
      </w:pPr>
      <w:r>
        <w:rPr>
          <w:rFonts w:ascii="Calibri" w:hAnsi="Calibri"/>
          <w:b w:val="0"/>
          <w:i w:val="0"/>
          <w:sz w:val="20"/>
        </w:rPr>
        <w:t>Current AI capabilities across all six platforms remain overwhelmingly operational. Most digital assistants help customers transfer money, check balances, pay bills, or resolve support issues. None provides long-term financial planning, investment education, tax guidance, SME mentorship, or multi-persona advisory. The CBN's anti-dominance regulations (June 2026) — capping card issuing at 25% and merchant acquiring at 15% market share — create additional pressure on dominant players to differentiate through value-added services rather than scale alone.</w:t>
      </w:r>
    </w:p>
    <w:p>
      <w:pPr>
        <w:pStyle w:val="Heading3"/>
      </w:pPr>
      <w:r>
        <w:t>EcoFinwize Strategic Position</w:t>
      </w:r>
    </w:p>
    <w:p>
      <w:pPr>
        <w:spacing w:after="120"/>
      </w:pPr>
      <w:r>
        <w:rPr>
          <w:rFonts w:ascii="Calibri" w:hAnsi="Calibri"/>
          <w:b w:val="0"/>
          <w:i w:val="0"/>
          <w:sz w:val="20"/>
        </w:rPr>
        <w:t>EcoFinwize complements digital banking by acting as an AI financial intelligence layer. Instead of replacing banks, it helps users make better financial decisions before and after transactions. As open banking expands across Africa — Nigeria released its Open Banking Implementation Framework in 2025, and South Africa, Kenya, and Ghana are developing frameworks — EcoFinwize's platform-agnostic design enables integration with multiple financial institutions, delivering personalized intelligence across banks while remaining neutral.</w:t>
      </w:r>
    </w:p>
    <w:p>
      <w:pPr>
        <w:pStyle w:val="Heading2"/>
      </w:pPr>
      <w:r>
        <w:t>4.3 SME Business Management Platforms</w:t>
      </w:r>
    </w:p>
    <w:p>
      <w:pPr>
        <w:pStyle w:val="Heading3"/>
      </w:pPr>
      <w:r>
        <w:t>Market Leaders</w:t>
      </w:r>
    </w:p>
    <w:p>
      <w:pPr>
        <w:spacing w:after="120"/>
      </w:pPr>
      <w:r>
        <w:rPr>
          <w:rFonts w:ascii="Calibri" w:hAnsi="Calibri"/>
          <w:b w:val="0"/>
          <w:i w:val="0"/>
          <w:sz w:val="20"/>
        </w:rPr>
        <w:t>African SME tools — Bumpa, Oze, Dukka, alongside global players Zoho Books and QuickBooks — offer inventory tracking, bookkeeping, invoicing, and payroll. However, most small businesses struggle with manual data entry, and many abandon bookkeeping software because it competes with daily operational priorities.</w:t>
      </w:r>
    </w:p>
    <w:p>
      <w:pPr>
        <w:pStyle w:val="Heading3"/>
      </w:pPr>
      <w:r>
        <w:t>Structural Gap</w:t>
      </w:r>
    </w:p>
    <w:p>
      <w:pPr>
        <w:spacing w:after="120"/>
      </w:pPr>
      <w:r>
        <w:rPr>
          <w:rFonts w:ascii="Calibri" w:hAnsi="Calibri"/>
          <w:b w:val="0"/>
          <w:i w:val="0"/>
          <w:sz w:val="20"/>
        </w:rPr>
        <w:t>Africa's informal sector accounts for approximately 80% of employment and a significant portion of GDP. Form-based bookkeeping tools assume a level of digital literacy and operational consistency that many micro-entrepreneurs do not possess. There is no major platform offering conversational or voice-based business management tailored to Africa's informal and semi-formal SME sector.</w:t>
      </w:r>
    </w:p>
    <w:p>
      <w:pPr>
        <w:pStyle w:val="Heading3"/>
      </w:pPr>
      <w:r>
        <w:t>EcoFinwize Strategic Position</w:t>
      </w:r>
    </w:p>
    <w:p>
      <w:pPr>
        <w:spacing w:after="120"/>
      </w:pPr>
      <w:r>
        <w:rPr>
          <w:rFonts w:ascii="Calibri" w:hAnsi="Calibri"/>
          <w:b w:val="0"/>
          <w:i w:val="0"/>
          <w:sz w:val="20"/>
        </w:rPr>
        <w:t>EcoFinwize transforms structured bookkeeping into conversational workflows. Users interact naturally through voice or chat in any of 13 African languages, while AI converts conversations into structured financial records. This dramatically reduces friction and lowers the learning curve for first-time entrepreneurs. The AI business plan generator, SME task manager, and invoice system are already implemented and verified in the codebase.</w:t>
      </w:r>
    </w:p>
    <w:p>
      <w:pPr>
        <w:pStyle w:val="Heading2"/>
      </w:pPr>
      <w:r>
        <w:t>4.4 Banking AI / Chatbots</w:t>
      </w:r>
    </w:p>
    <w:p>
      <w:pPr>
        <w:pStyle w:val="Heading3"/>
      </w:pPr>
      <w:r>
        <w:t>Market Leaders</w:t>
      </w:r>
    </w:p>
    <w:p>
      <w:pPr>
        <w:spacing w:after="120"/>
      </w:pPr>
      <w:r>
        <w:rPr>
          <w:rFonts w:ascii="Calibri" w:hAnsi="Calibri"/>
          <w:b w:val="0"/>
          <w:i w:val="0"/>
          <w:sz w:val="20"/>
        </w:rPr>
        <w:t>UBA Leo, Access Bank AI assistants, OPay AI Support, and Carbon's AI chatbot.</w:t>
      </w:r>
    </w:p>
    <w:p>
      <w:pPr>
        <w:pStyle w:val="Heading3"/>
      </w:pPr>
      <w:r>
        <w:t>Structural Gap</w:t>
      </w:r>
    </w:p>
    <w:p>
      <w:pPr>
        <w:spacing w:after="120"/>
      </w:pPr>
      <w:r>
        <w:rPr>
          <w:rFonts w:ascii="Calibri" w:hAnsi="Calibri"/>
          <w:b w:val="0"/>
          <w:i w:val="0"/>
          <w:sz w:val="20"/>
        </w:rPr>
        <w:t>Most banking AI systems are rules-based, designed for operational efficiency rather than deep financial advisory. They lack contextual reasoning, long-term personalized planning, financial coaching, and localized regulatory intelligence. Trust in banking chatbots remains low — the Nigerian Fintech Trust Index (Q2 2026) found that even leading platforms like OPay (2.5/5 Trustpilot), Kuda (2.0/5), and Moniepoint (2.8/5) score poorly on consumer trust, despite having 4.5-star app store ratings.</w:t>
      </w:r>
    </w:p>
    <w:p>
      <w:pPr>
        <w:pStyle w:val="Heading3"/>
      </w:pPr>
      <w:r>
        <w:t>EcoFinwize Strategic Position</w:t>
      </w:r>
    </w:p>
    <w:p>
      <w:pPr>
        <w:spacing w:after="120"/>
      </w:pPr>
      <w:r>
        <w:rPr>
          <w:rFonts w:ascii="Calibri" w:hAnsi="Calibri"/>
          <w:b w:val="0"/>
          <w:i w:val="0"/>
          <w:sz w:val="20"/>
        </w:rPr>
        <w:t>EcoFinwize employs Retrieval-Augmented Generation (RAG) combined with a curated financial knowledge base to deliver explainable, evidence-based guidance. Users receive not only answers but also context, education, and verifiable source references — addressing the trust deficit that plagues existing banking AI systems. This grounding in verified financial and regulatory information positions EcoFinwize as a reliable advisory platform rather than a transactional chatbot.</w:t>
      </w:r>
    </w:p>
    <w:p>
      <w:pPr>
        <w:pStyle w:val="Heading2"/>
      </w:pPr>
      <w:r>
        <w:t>4.5 General AI Assistants</w:t>
      </w:r>
    </w:p>
    <w:p>
      <w:pPr>
        <w:pStyle w:val="Heading3"/>
      </w:pPr>
      <w:r>
        <w:t>Market Leaders</w:t>
      </w:r>
    </w:p>
    <w:p>
      <w:pPr>
        <w:spacing w:after="120"/>
      </w:pPr>
      <w:r>
        <w:rPr>
          <w:rFonts w:ascii="Calibri" w:hAnsi="Calibri"/>
          <w:b w:val="0"/>
          <w:i w:val="0"/>
          <w:sz w:val="20"/>
        </w:rPr>
        <w:t>ChatGPT, Claude, Gemini, Microsoft Copilot, Perplexity.</w:t>
      </w:r>
    </w:p>
    <w:p>
      <w:pPr>
        <w:pStyle w:val="Heading3"/>
      </w:pPr>
      <w:r>
        <w:t>Structural Gap</w:t>
      </w:r>
    </w:p>
    <w:p>
      <w:pPr>
        <w:spacing w:after="120"/>
      </w:pPr>
      <w:r>
        <w:rPr>
          <w:rFonts w:ascii="Calibri" w:hAnsi="Calibri"/>
          <w:b w:val="0"/>
          <w:i w:val="0"/>
          <w:sz w:val="20"/>
        </w:rPr>
        <w:t>General AI assistants are not designed for African financial ecosystems. They lack localized tax regulations, SME compliance frameworks, country-specific financial products, and regional investment guidance. Their training data underrepresents African financial contexts, and they have no mechanism for executing financial actions (creating budgets, recording transactions, generating invoices). The cost of API access also remains prohibitive for mass-market African deployment without aggressive optimization.</w:t>
      </w:r>
    </w:p>
    <w:p>
      <w:pPr>
        <w:pStyle w:val="Heading3"/>
      </w:pPr>
      <w:r>
        <w:t>EcoFinwize Strategic Position</w:t>
      </w:r>
    </w:p>
    <w:p>
      <w:pPr>
        <w:spacing w:after="120"/>
      </w:pPr>
      <w:r>
        <w:rPr>
          <w:rFonts w:ascii="Calibri" w:hAnsi="Calibri"/>
          <w:b w:val="0"/>
          <w:i w:val="0"/>
          <w:sz w:val="20"/>
        </w:rPr>
        <w:t>EcoFinwize combines foundation models with localized retrieval systems and action dispatch tools. Rather than competing on model size, EcoFinwize competes on domain expertise, localization, and execution. The platform delivers Africa-specific financial intelligence at under $0.05 per conversation — a cost structure enabled by Redis caching, token budget management, and efficient model routing (GPT-4o-mini via OpenRouter).</w:t>
      </w:r>
    </w:p>
    <w:p>
      <w:pPr>
        <w:pStyle w:val="Heading2"/>
      </w:pPr>
      <w:r>
        <w:t>4.6 Financial Education Platforms</w:t>
      </w:r>
    </w:p>
    <w:p>
      <w:pPr>
        <w:pStyle w:val="Heading3"/>
      </w:pPr>
      <w:r>
        <w:t>Market Leaders</w:t>
      </w:r>
    </w:p>
    <w:p>
      <w:pPr>
        <w:spacing w:after="120"/>
      </w:pPr>
      <w:r>
        <w:rPr>
          <w:rFonts w:ascii="Calibri" w:hAnsi="Calibri"/>
          <w:b w:val="0"/>
          <w:i w:val="0"/>
          <w:sz w:val="20"/>
        </w:rPr>
        <w:t>Money Africa, Clever Girl Finance, Nairametrics Learning.</w:t>
      </w:r>
    </w:p>
    <w:p>
      <w:pPr>
        <w:pStyle w:val="Heading3"/>
      </w:pPr>
      <w:r>
        <w:t>Structural Gap</w:t>
      </w:r>
    </w:p>
    <w:p>
      <w:pPr>
        <w:spacing w:after="120"/>
      </w:pPr>
      <w:r>
        <w:rPr>
          <w:rFonts w:ascii="Calibri" w:hAnsi="Calibri"/>
          <w:b w:val="0"/>
          <w:i w:val="0"/>
          <w:sz w:val="20"/>
        </w:rPr>
        <w:t>Financial education in Africa remains predominantly passive. Users consume content — articles, videos, courses — but must independently translate lessons into practical financial actions. There is no integrated feedback loop between learning and doing. This disconnect results in low engagement and limited behaviour change.</w:t>
      </w:r>
    </w:p>
    <w:p>
      <w:pPr>
        <w:pStyle w:val="Heading3"/>
      </w:pPr>
      <w:r>
        <w:t>EcoFinwize Strategic Position</w:t>
      </w:r>
    </w:p>
    <w:p>
      <w:pPr>
        <w:spacing w:after="120"/>
      </w:pPr>
      <w:r>
        <w:rPr>
          <w:rFonts w:ascii="Calibri" w:hAnsi="Calibri"/>
          <w:b w:val="0"/>
          <w:i w:val="0"/>
          <w:sz w:val="20"/>
        </w:rPr>
        <w:t>EcoFinwize integrates learning with execution. Educational content immediately connects to budgeting, planning, document generation, and business management tools. The platform's quiz engine, progress tracking, and badge system gamify financial education, while AI tutors (Kemi, Chidi, Musa) provide contextual guidance that bridges theory and practice. This action-oriented approach drives stronger user retention and measurable financial behaviour change.</w:t>
      </w:r>
    </w:p>
    <w:p>
      <w:pPr>
        <w:pStyle w:val="Heading2"/>
      </w:pPr>
      <w:r>
        <w:t>4.7 Global AI Financial Copilots</w:t>
      </w:r>
    </w:p>
    <w:p>
      <w:pPr>
        <w:pStyle w:val="Heading3"/>
      </w:pPr>
      <w:r>
        <w:t>Market Leaders</w:t>
      </w:r>
    </w:p>
    <w:p>
      <w:pPr>
        <w:spacing w:after="120"/>
      </w:pPr>
      <w:r>
        <w:rPr>
          <w:rFonts w:ascii="Calibri" w:hAnsi="Calibri"/>
          <w:b w:val="0"/>
          <w:i w:val="0"/>
          <w:sz w:val="20"/>
        </w:rPr>
        <w:t>Cleo ($400M ARR, 7M+ users), Monarch Money ($14.99/mo, 2,000% post-Mint growth), Rocket Money, Copilot Money ($13/mo, 95%+ AI categorization), Origin ($13/mo with human CFPs).</w:t>
      </w:r>
    </w:p>
    <w:p>
      <w:pPr>
        <w:pStyle w:val="Heading3"/>
      </w:pPr>
      <w:r>
        <w:t>Structural Gap</w:t>
      </w:r>
    </w:p>
    <w:p>
      <w:pPr>
        <w:spacing w:after="120"/>
      </w:pPr>
      <w:r>
        <w:rPr>
          <w:rFonts w:ascii="Calibri" w:hAnsi="Calibri"/>
          <w:b w:val="0"/>
          <w:i w:val="0"/>
          <w:sz w:val="20"/>
        </w:rPr>
        <w:t>These platforms represent the global state of the art in AI-powered personal finance. Cleo 3.0 introduced agentic architecture with multi-step reasoning, real-time voice, and conversational memory. Monarch AI added scenario modelling for household financial planning. Copilot achieves 93% first-pass categorization accuracy. However, every single platform is optimized for North American and European financial systems. They assume mature credit markets, widespread open banking adoption (Plaid/MX/Finicity), formal employment, consistent internet access, and English-only interfaces. None supports African languages. None handles irregular income patterns common in African markets. None integrates with African payment rails (PAPSS, mobile money, USSD). None offers SME-specific tools. None costs less than $5–15/month — a significant barrier in price-sensitive markets.</w:t>
      </w:r>
    </w:p>
    <w:p>
      <w:pPr>
        <w:pStyle w:val="Heading3"/>
      </w:pPr>
      <w:r>
        <w:t>EcoFinwize Strategic Position</w:t>
      </w:r>
    </w:p>
    <w:p>
      <w:pPr>
        <w:spacing w:after="120"/>
      </w:pPr>
      <w:r>
        <w:rPr>
          <w:rFonts w:ascii="Calibri" w:hAnsi="Calibri"/>
          <w:b w:val="0"/>
          <w:i w:val="0"/>
          <w:sz w:val="20"/>
        </w:rPr>
        <w:t>EcoFinwize is designed from the ground up for emerging economies. The platform's architecture reflects the realities of African financial life: irregular income management, localized regulations, SME advisory, low-bandwidth optimization (7.1 MB APK), affordable AI delivery (under $0.05/chat), multilingual expansion (13 African languages with 384 UI strings each), mobile-first design, and voice-first interaction for users with limited literacy. By solving local problems exceptionally well, EcoFinwize creates a defensible niche that global platforms cannot easily replicate without massive localization investments.</w:t>
      </w:r>
    </w:p>
    <w:p>
      <w:r>
        <w:br w:type="page"/>
      </w:r>
    </w:p>
    <w:p>
      <w:pPr>
        <w:pStyle w:val="Heading1"/>
      </w:pPr>
      <w:r>
        <w:t>5. Emerging Competitive Threats in the African Market</w:t>
      </w:r>
    </w:p>
    <w:p>
      <w:pPr>
        <w:spacing w:after="120"/>
      </w:pPr>
      <w:r>
        <w:rPr>
          <w:rFonts w:ascii="Calibri" w:hAnsi="Calibri"/>
          <w:b w:val="0"/>
          <w:i w:val="0"/>
          <w:sz w:val="20"/>
        </w:rPr>
        <w:t>The 2026 African fintech landscape is being reshaped by several powerful forces that create both threats and opportunities for EcoFinwize. Understanding these dynamics is essential for strategic positioning.</w:t>
      </w:r>
    </w:p>
    <w:p>
      <w:pPr>
        <w:pStyle w:val="Heading2"/>
      </w:pPr>
      <w:r>
        <w:t>5.1 Agentic AI in Personal Finance</w:t>
      </w:r>
    </w:p>
    <w:p>
      <w:pPr>
        <w:spacing w:after="120"/>
      </w:pPr>
      <w:r>
        <w:rPr>
          <w:rFonts w:ascii="Calibri" w:hAnsi="Calibri"/>
          <w:b w:val="0"/>
          <w:i w:val="0"/>
          <w:sz w:val="20"/>
        </w:rPr>
        <w:t>The most significant competitive development of 2026 is the emergence of "agentic AI" — software that plans, reasons, and acts autonomously across multiple steps. Cleo's Autopilot (launched June 2026) represents the state of the art: it builds financial health scores, generates multi-month roadmaps, creates daily plans, and executes actions (savings transfers, spending limits) with user consent. Cleo's $400M ARR validates mass-market demand for autonomous financial AI. However, Cleo remains entirely US/UK-focused with no African market presence, African language support, or integration with African financial rails.</w:t>
      </w:r>
    </w:p>
    <w:p>
      <w:pPr>
        <w:spacing w:after="120"/>
      </w:pPr>
      <w:r>
        <w:rPr>
          <w:rFonts w:ascii="Calibri" w:hAnsi="Calibri"/>
          <w:b w:val="0"/>
          <w:i w:val="0"/>
          <w:sz w:val="20"/>
        </w:rPr>
        <w:t>EcoFinwize’s action dispatch system (10 tools that create budgets, transactions, invoices, tasks, and business plans) already implements a foundational version of this pattern. In July 2026, EcoFinwize shipped its AgenticPlanner – a multi-step autonomous reasoning engine that plans, decomposes, executes, and reflects across up to 5 iterations, with auto (automatic) and write (user-approval) tool modes and a results feedback loop. AgenticPlanner is integrated into all 3 AI personas (Kemi, Chidi, Musa), bringing multi-step financial planning and proactive insight generation to production.</w:t>
      </w:r>
    </w:p>
    <w:p>
      <w:pPr>
        <w:pStyle w:val="Heading2"/>
      </w:pPr>
      <w:r>
        <w:t>5.2 Open Banking &amp; Embedded Finance Expansion</w:t>
      </w:r>
    </w:p>
    <w:p>
      <w:pPr>
        <w:spacing w:after="120"/>
      </w:pPr>
      <w:r>
        <w:rPr>
          <w:rFonts w:ascii="Calibri" w:hAnsi="Calibri"/>
          <w:b w:val="0"/>
          <w:i w:val="0"/>
          <w:sz w:val="20"/>
        </w:rPr>
        <w:t>The Pan-African Payment and Settlement System (PAPSS) is live in 19 countries with 160+ commercial banks, enabling real-time cross-border payments in local currencies. The embedded finance market was valued at $11.9 billion in 2024 and is projected to reach $18 billion by 2030. Paystack launched Paystack Index (June 2026) — an experimental product allowing AI agents (ChatGPT, Claude) to make payments on behalf of users, representing the first major African payment infrastructure for agentic commerce. Anchor launched an MCP server enabling AI agents to interact with its API resources. These developments signal that Africa's payment infrastructure is actively preparing for AI-mediated financial transactions.</w:t>
      </w:r>
    </w:p>
    <w:p>
      <w:pPr>
        <w:spacing w:after="120"/>
      </w:pPr>
      <w:r>
        <w:rPr>
          <w:rFonts w:ascii="Calibri" w:hAnsi="Calibri"/>
          <w:b w:val="0"/>
          <w:i w:val="0"/>
          <w:sz w:val="20"/>
        </w:rPr>
        <w:t>EcoFinwize's platform-agnostic intelligence layer is well-positioned to integrate with multiple financial institutions as open banking matures. The built-in Paystack and Flutterwave integrations provide immediate downstream channels for embedded finance and affiliate distribution.</w:t>
      </w:r>
    </w:p>
    <w:p>
      <w:pPr>
        <w:pStyle w:val="Heading2"/>
      </w:pPr>
      <w:r>
        <w:t>5.3 AI-Driven Lending &amp; Credit Scoring</w:t>
      </w:r>
    </w:p>
    <w:p>
      <w:pPr>
        <w:spacing w:after="120"/>
      </w:pPr>
      <w:r>
        <w:rPr>
          <w:rFonts w:ascii="Calibri" w:hAnsi="Calibri"/>
          <w:b w:val="0"/>
          <w:i w:val="0"/>
          <w:sz w:val="20"/>
        </w:rPr>
        <w:t>AI-driven lending using alternative data (mobile usage, payment behaviour, e-commerce transactions) is rapidly expanding access to credit for the unbanked across Africa. In Ethiopia, 380,000+ MSMEs accessed $150 million through uncollateralized AI-scored credit. Carbon and FairMoney use AI to underwrite loans without traditional credit histories. While EcoFinwize does not currently offer lending, its financial data — budgets, transactions, savings patterns, learning progress — could serve as creditworthiness signals for lending partners. This represents a potential revenue stream via data partnerships (with user consent) and a natural product expansion path.</w:t>
      </w:r>
    </w:p>
    <w:p>
      <w:pPr>
        <w:pStyle w:val="Heading2"/>
      </w:pPr>
      <w:r>
        <w:t>5.4 Emerging African AI Fintech Natives</w:t>
      </w:r>
    </w:p>
    <w:p>
      <w:pPr>
        <w:spacing w:after="120"/>
      </w:pPr>
      <w:r>
        <w:rPr>
          <w:rFonts w:ascii="Calibri" w:hAnsi="Calibri"/>
          <w:b w:val="0"/>
          <w:i w:val="0"/>
          <w:sz w:val="20"/>
        </w:rPr>
        <w:t>New entrants are beginning to target the AI personal finance gap in Africa. Budge AI (launched July 2026) reads transactional SMS and email alerts to categorize spending, using conversational AI for queries. While Budge AI's approach is innovative — no bank login required, works with 1,500+ financial institution notification templates — it has several critical limitations: cash transactions are invisible, crypto is unsupported, deduplication errors can double-count, and the "Ask Budge" feature lacks financial advisory depth, multi-persona support, business tools, and the comprehensive financial management capabilities EcoFinwize already provides.</w:t>
      </w:r>
    </w:p>
    <w:p>
      <w:pPr>
        <w:spacing w:after="120"/>
      </w:pPr>
      <w:r>
        <w:rPr>
          <w:rFonts w:ascii="Calibri" w:hAnsi="Calibri"/>
          <w:b w:val="0"/>
          <w:i w:val="0"/>
          <w:sz w:val="20"/>
        </w:rPr>
        <w:t>The emergence of Budge AI validates the thesis that African consumers want AI-powered financial intelligence. It also underscores the importance of first-mover advantage and the defensibility of EcoFinwize's more comprehensive feature set — 142 API routes, 33 database models, 3 AI personas, 10 action tools, 20 learning courses, and SME business management — which would require years of development for any new entrant to replicate.</w:t>
      </w:r>
    </w:p>
    <w:p>
      <w:pPr>
        <w:pStyle w:val="Heading2"/>
      </w:pPr>
      <w:r>
        <w:t>5.5 Regulatory Sandboxes &amp; Licensing Evolution</w:t>
      </w:r>
    </w:p>
    <w:p>
      <w:pPr>
        <w:spacing w:after="120"/>
      </w:pPr>
      <w:r>
        <w:rPr>
          <w:rFonts w:ascii="Calibri" w:hAnsi="Calibri"/>
          <w:b w:val="0"/>
          <w:i w:val="0"/>
          <w:sz w:val="20"/>
        </w:rPr>
        <w:t>By October 2024, 25 national regulatory sandboxes were established across 15 African countries. Nigeria and South Africa exited the FATF grey list in 2025. The CBN's June 2026 anti-dominance regulations will reshape the competitive landscape for Nigeria's largest fintechs. EcoFinwize should consider applying for sandbox participation in Nigeria and Kenya to accelerate regulatory approval for AI-driven financial advisory. The platform's existing safety architecture — PII redaction, input/output guardrails, citation enforcement, financial red-flag scanning — provides a strong foundation for regulatory engagement.</w:t>
      </w:r>
    </w:p>
    <w:p>
      <w:r>
        <w:br w:type="page"/>
      </w:r>
    </w:p>
    <w:p>
      <w:pPr>
        <w:pStyle w:val="Heading1"/>
      </w:pPr>
      <w:r>
        <w:t>6. How EcoFinwize Wins: Competitive Advantage Framework</w:t>
      </w:r>
    </w:p>
    <w:p>
      <w:pPr>
        <w:spacing w:after="120"/>
      </w:pPr>
      <w:r>
        <w:rPr>
          <w:rFonts w:ascii="Calibri" w:hAnsi="Calibri"/>
          <w:b w:val="0"/>
          <w:i w:val="0"/>
          <w:sz w:val="20"/>
        </w:rPr>
        <w:t>EcoFinwize's competitive strategy is not built on displacing incumbents but on occupying a structural gap that no existing platform addresses: the intersection of conversational AI, localized financial intelligence, adaptive personal finance, and SME business tools for African markets.</w:t>
      </w:r>
    </w:p>
    <w:p>
      <w:pPr>
        <w:pStyle w:val="Heading2"/>
      </w:pPr>
      <w:r>
        <w:t>6.1 The Convergence Advantage</w:t>
      </w:r>
    </w:p>
    <w:p>
      <w:pPr>
        <w:spacing w:after="120"/>
      </w:pPr>
      <w:r>
        <w:rPr>
          <w:rFonts w:ascii="Calibri" w:hAnsi="Calibri"/>
          <w:b w:val="0"/>
          <w:i w:val="0"/>
          <w:sz w:val="20"/>
        </w:rPr>
        <w:t>No competing platform — in Africa or globally — combines all of the following: conversational AI with 3 specialized personas (Kemi, Chidi, Musa), RAG-grounded regulatory intelligence, adaptive budgeting for irregular income, 13-language i18n, voice TTS/STT, SME business tools (invoices, tasks, business plans), gamified education with 20 courses, and a 7.1 MB mobile APK — all in a single unified platform. This convergence creates a structural competitive advantage that individual category leaders cannot replicate without years of development across multiple domains.</w:t>
      </w:r>
    </w:p>
    <w:p>
      <w:pPr>
        <w:pStyle w:val="Heading2"/>
      </w:pPr>
      <w:r>
        <w:t>6.2 Partnership Over Disruption</w:t>
      </w:r>
    </w:p>
    <w:p>
      <w:pPr>
        <w:spacing w:after="120"/>
      </w:pPr>
      <w:r>
        <w:rPr>
          <w:rFonts w:ascii="Calibri" w:hAnsi="Calibri"/>
          <w:b w:val="0"/>
          <w:i w:val="0"/>
          <w:sz w:val="20"/>
        </w:rPr>
        <w:t>EcoFinwize's ecosystem symbiosis strategy positions the platform as an intermediary intelligence layer rather than a competitor to established financial institutions. Key partnership pathways include:</w:t>
      </w:r>
    </w:p>
    <w:p>
      <w:pPr>
        <w:pStyle w:val="ListBullet"/>
      </w:pPr>
      <w:r>
        <w:rPr>
          <w:rFonts w:ascii="Calibri" w:hAnsi="Calibri"/>
          <w:sz w:val="20"/>
        </w:rPr>
        <w:t xml:space="preserve"> Wealth management platforms (PiggyVest, Cowrywise) — refer pre-investment users for advisory and receive referral traffic for investment-ready users</w:t>
      </w:r>
    </w:p>
    <w:p>
      <w:pPr>
        <w:pStyle w:val="ListBullet"/>
      </w:pPr>
      <w:r>
        <w:rPr>
          <w:rFonts w:ascii="Calibri" w:hAnsi="Calibri"/>
          <w:sz w:val="20"/>
        </w:rPr>
        <w:t xml:space="preserve"> Digital banks (OPay, Kuda, Moniepoint) — integrate as an AI advisory layer accessible within banking apps via API</w:t>
      </w:r>
    </w:p>
    <w:p>
      <w:pPr>
        <w:pStyle w:val="ListBullet"/>
      </w:pPr>
      <w:r>
        <w:rPr>
          <w:rFonts w:ascii="Calibri" w:hAnsi="Calibri"/>
          <w:sz w:val="20"/>
        </w:rPr>
        <w:t xml:space="preserve"> Payment processors (Paystack, Flutterwave) — embed financial intelligence at the point of transaction</w:t>
      </w:r>
    </w:p>
    <w:p>
      <w:pPr>
        <w:pStyle w:val="ListBullet"/>
      </w:pPr>
      <w:r>
        <w:rPr>
          <w:rFonts w:ascii="Calibri" w:hAnsi="Calibri"/>
          <w:sz w:val="20"/>
        </w:rPr>
        <w:t xml:space="preserve"> Telecom operators (MTN, Airtel, Safaricom) — deliver financial education and AI advisory via mobile money platforms</w:t>
      </w:r>
    </w:p>
    <w:p>
      <w:pPr>
        <w:pStyle w:val="ListBullet"/>
      </w:pPr>
      <w:r>
        <w:rPr>
          <w:rFonts w:ascii="Calibri" w:hAnsi="Calibri"/>
          <w:sz w:val="20"/>
        </w:rPr>
        <w:t xml:space="preserve"> Enterprise employers — offer financial wellness benefits for employees (workplace financial health)</w:t>
      </w:r>
    </w:p>
    <w:p>
      <w:pPr>
        <w:pStyle w:val="Heading2"/>
      </w:pPr>
      <w:r>
        <w:t>6.3 Cost Structure Advantage</w:t>
      </w:r>
    </w:p>
    <w:p>
      <w:pPr>
        <w:spacing w:after="120"/>
      </w:pPr>
      <w:r>
        <w:rPr>
          <w:rFonts w:ascii="Calibri" w:hAnsi="Calibri"/>
          <w:b w:val="0"/>
          <w:i w:val="0"/>
          <w:sz w:val="20"/>
        </w:rPr>
        <w:t xml:space="preserve">EcoFinwize's engineering decisions create a structural cost advantage that is difficult to replicate: </w:t>
      </w:r>
    </w:p>
    <w:p>
      <w:pPr>
        <w:pStyle w:val="ListBullet"/>
      </w:pPr>
      <w:r>
        <w:rPr>
          <w:rFonts w:ascii="Calibri" w:hAnsi="Calibri"/>
          <w:sz w:val="20"/>
        </w:rPr>
        <w:t xml:space="preserve"> Redis caching for repetitive queries (regulatory information, financial definitions)</w:t>
      </w:r>
    </w:p>
    <w:p>
      <w:pPr>
        <w:pStyle w:val="ListBullet"/>
      </w:pPr>
      <w:r>
        <w:rPr>
          <w:rFonts w:ascii="Calibri" w:hAnsi="Calibri"/>
          <w:sz w:val="20"/>
        </w:rPr>
        <w:t xml:space="preserve"> GPT-4o-mini via OpenRouter for efficient inference (under $0.05/conversation)</w:t>
      </w:r>
    </w:p>
    <w:p>
      <w:pPr>
        <w:pStyle w:val="ListBullet"/>
      </w:pPr>
      <w:r>
        <w:rPr>
          <w:rFonts w:ascii="Calibri" w:hAnsi="Calibri"/>
          <w:sz w:val="20"/>
        </w:rPr>
        <w:t xml:space="preserve"> Fallback provider chain (Groq → OpenRouter) eliminates single-provider dependency</w:t>
      </w:r>
    </w:p>
    <w:p>
      <w:pPr>
        <w:pStyle w:val="ListBullet"/>
      </w:pPr>
      <w:r>
        <w:rPr>
          <w:rFonts w:ascii="Calibri" w:hAnsi="Calibri"/>
          <w:sz w:val="20"/>
        </w:rPr>
        <w:t xml:space="preserve"> 7.1 MB APK enables distribution in low-bandwidth environments</w:t>
      </w:r>
    </w:p>
    <w:p>
      <w:pPr>
        <w:pStyle w:val="ListBullet"/>
      </w:pPr>
      <w:r>
        <w:rPr>
          <w:rFonts w:ascii="Calibri" w:hAnsi="Calibri"/>
          <w:sz w:val="20"/>
        </w:rPr>
        <w:t xml:space="preserve"> Modular monolith architecture minimizes infrastructure overhead</w:t>
      </w:r>
    </w:p>
    <w:p>
      <w:pPr>
        <w:pStyle w:val="Heading2"/>
      </w:pPr>
      <w:r>
        <w:t>6.4 Data Moat &amp; Localization Advantage</w:t>
      </w:r>
    </w:p>
    <w:p>
      <w:pPr>
        <w:spacing w:after="120"/>
      </w:pPr>
      <w:r>
        <w:rPr>
          <w:rFonts w:ascii="Calibri" w:hAnsi="Calibri"/>
          <w:b w:val="0"/>
          <w:i w:val="0"/>
          <w:sz w:val="20"/>
        </w:rPr>
        <w:t xml:space="preserve">As EcoFinwize grows, it accumulates a proprietary dataset of African financial behaviour, spending patterns, savings preferences, SME cash flow dynamics, and financial literacy gaps across 13 languages. This dataset: </w:t>
      </w:r>
    </w:p>
    <w:p>
      <w:pPr>
        <w:pStyle w:val="ListBullet"/>
      </w:pPr>
      <w:r>
        <w:rPr>
          <w:rFonts w:ascii="Calibri" w:hAnsi="Calibri"/>
          <w:sz w:val="20"/>
        </w:rPr>
        <w:t xml:space="preserve"> Improves RAG knowledge base accuracy over time</w:t>
      </w:r>
    </w:p>
    <w:p>
      <w:pPr>
        <w:pStyle w:val="ListBullet"/>
      </w:pPr>
      <w:r>
        <w:rPr>
          <w:rFonts w:ascii="Calibri" w:hAnsi="Calibri"/>
          <w:sz w:val="20"/>
        </w:rPr>
        <w:t xml:space="preserve"> Enables personalized recommendations based on actual African user behaviour</w:t>
      </w:r>
    </w:p>
    <w:p>
      <w:pPr>
        <w:pStyle w:val="ListBullet"/>
      </w:pPr>
      <w:r>
        <w:rPr>
          <w:rFonts w:ascii="Calibri" w:hAnsi="Calibri"/>
          <w:sz w:val="20"/>
        </w:rPr>
        <w:t xml:space="preserve"> Creates a regulatory compliance asset (demonstrable understanding of local financial contexts)</w:t>
      </w:r>
    </w:p>
    <w:p>
      <w:pPr>
        <w:pStyle w:val="ListBullet"/>
      </w:pPr>
      <w:r>
        <w:rPr>
          <w:rFonts w:ascii="Calibri" w:hAnsi="Calibri"/>
          <w:sz w:val="20"/>
        </w:rPr>
        <w:t xml:space="preserve"> Generates anonymized market intelligence valuable to development finance institutions and policymakers</w:t>
      </w:r>
    </w:p>
    <w:p>
      <w:pPr>
        <w:pStyle w:val="ListBullet"/>
      </w:pPr>
      <w:r>
        <w:rPr>
          <w:rFonts w:ascii="Calibri" w:hAnsi="Calibri"/>
          <w:sz w:val="20"/>
        </w:rPr>
        <w:t xml:space="preserve"> Provides a defensible moat that pure-play AI platforms (ChatGPT, Claude) cannot replicate without years of Africa-specific deployment</w:t>
      </w:r>
    </w:p>
    <w:p>
      <w:r>
        <w:br w:type="page"/>
      </w:r>
    </w:p>
    <w:p>
      <w:pPr>
        <w:pStyle w:val="Heading1"/>
      </w:pPr>
      <w:r>
        <w:t>7. EcoFinwize Sustainable Competitive Advantages (Moats)</w:t>
      </w:r>
    </w:p>
    <w:p>
      <w:pPr>
        <w:pStyle w:val="Heading2"/>
      </w:pPr>
      <w:r>
        <w:t>7.1 Localized Intelligence (The RAG Moat)</w:t>
      </w:r>
    </w:p>
    <w:p>
      <w:pPr>
        <w:spacing w:after="120"/>
      </w:pPr>
      <w:r>
        <w:rPr>
          <w:rFonts w:ascii="Calibri" w:hAnsi="Calibri"/>
          <w:b w:val="0"/>
          <w:i w:val="0"/>
          <w:sz w:val="20"/>
        </w:rPr>
        <w:t>A continuously updated Retrieval-Augmented Generation knowledge base connected to a Pinecone vector database forces all conversational responses to be explicitly grounded in verified African financial regulations, localized tax policies, and region-specific SME guidance. This infrastructure delivers explainable outputs with verifiable citations — differentiating EcoFinwize from general-purpose AI that may hallucinate Africa-specific financial information.</w:t>
      </w:r>
    </w:p>
    <w:p>
      <w:pPr>
        <w:pStyle w:val="Heading2"/>
      </w:pPr>
      <w:r>
        <w:t>7.2 AI-Native Multi-Persona Experience</w:t>
      </w:r>
    </w:p>
    <w:p>
      <w:pPr>
        <w:spacing w:after="120"/>
      </w:pPr>
      <w:r>
        <w:rPr>
          <w:rFonts w:ascii="Calibri" w:hAnsi="Calibri"/>
          <w:b w:val="0"/>
          <w:i w:val="0"/>
          <w:sz w:val="20"/>
        </w:rPr>
        <w:t>Three distinct AI personas — Kemi (Financial Advisor), Chidi (Business Mentor), Musa (Investment Advisor) — with unique system prompts, conversation histories, and tool access. This multi-persona architecture addresses the reality that personal finance, business management, and investment require different expertise, tone, and context. No African fintech platform offers this capability.</w:t>
      </w:r>
    </w:p>
    <w:p>
      <w:pPr>
        <w:pStyle w:val="Heading2"/>
      </w:pPr>
      <w:r>
        <w:t>7.3 Adaptive Budgeting for Informal Economies</w:t>
      </w:r>
    </w:p>
    <w:p>
      <w:pPr>
        <w:spacing w:after="120"/>
      </w:pPr>
      <w:r>
        <w:rPr>
          <w:rFonts w:ascii="Calibri" w:hAnsi="Calibri"/>
          <w:b w:val="0"/>
          <w:i w:val="0"/>
          <w:sz w:val="20"/>
        </w:rPr>
        <w:t>Traditional finance applications rely on rigid, fixed monthly spending caps that fail freelancers, gig workers, and informal earners — who represent the majority of African workers. EcoFinwize's percentage-based adaptive budgeting algorithm automatically scales limits relative to shifting income inputs with month-over-month rollover. This is a structural advantage for African markets where irregular income is the norm, not the exception.</w:t>
      </w:r>
    </w:p>
    <w:p>
      <w:pPr>
        <w:pStyle w:val="Heading2"/>
      </w:pPr>
      <w:r>
        <w:t>7.4 Full-Stack Financial Platform</w:t>
      </w:r>
    </w:p>
    <w:p>
      <w:pPr>
        <w:spacing w:after="120"/>
      </w:pPr>
      <w:r>
        <w:rPr>
          <w:rFonts w:ascii="Calibri" w:hAnsi="Calibri"/>
          <w:b w:val="0"/>
          <w:i w:val="0"/>
          <w:sz w:val="20"/>
        </w:rPr>
        <w:t>Personal finance tracking, interactive SME task and invoice management, gamified financial education (20 courses with quizzes and badges), an AI business plan generator, and multi-persona AI advisory — all unified under a single cross-surface client interface (23 React web pages + 19 Flutter mobile screens). This convergence eliminates the need for users to juggle multiple apps for different financial needs.</w:t>
      </w:r>
    </w:p>
    <w:p>
      <w:pPr>
        <w:pStyle w:val="Heading2"/>
      </w:pPr>
      <w:r>
        <w:t>7.5 Low-Bandwidth, Cost-Efficient Engineering</w:t>
      </w:r>
    </w:p>
    <w:p>
      <w:pPr>
        <w:spacing w:after="120"/>
      </w:pPr>
      <w:r>
        <w:rPr>
          <w:rFonts w:ascii="Calibri" w:hAnsi="Calibri"/>
          <w:b w:val="0"/>
          <w:i w:val="0"/>
          <w:sz w:val="20"/>
        </w:rPr>
        <w:t>Engineered for African infrastructure realities: 7.1 MB Flutter APK for limited storage environments, aggressive Redis caching to reduce API costs, Token Budget Management keeping per-conversation costs under $0.05, and offline-resilient architecture. These design decisions make EcoFinwize viable in markets where data costs are high and connectivity is intermittent.</w:t>
      </w:r>
    </w:p>
    <w:p>
      <w:pPr>
        <w:pStyle w:val="Heading2"/>
      </w:pPr>
      <w:r>
        <w:t>7.6 Ecosystem Symbiosis Strategy</w:t>
      </w:r>
    </w:p>
    <w:p>
      <w:pPr>
        <w:spacing w:after="120"/>
      </w:pPr>
      <w:r>
        <w:rPr>
          <w:rFonts w:ascii="Calibri" w:hAnsi="Calibri"/>
          <w:b w:val="0"/>
          <w:i w:val="0"/>
          <w:sz w:val="20"/>
        </w:rPr>
        <w:t>Rather than competing with established banks, payment providers, or wealthtech platforms, EcoFinwize is architected as a platform-agnostic intelligence layer. Built-in Paystack and Flutterwave integration, open banking readiness, and API-first design create natural partnership channels. As Africa's open banking framework matures, EcoFinwize's ability to aggregate financial data across multiple institutions will become increasingly valuable.</w:t>
      </w:r>
    </w:p>
    <w:p>
      <w:r>
        <w:br w:type="page"/>
      </w:r>
    </w:p>
    <w:p>
      <w:pPr>
        <w:pStyle w:val="Heading1"/>
      </w:pPr>
      <w:r>
        <w:t>8. Strategic Positioning for the African Market</w:t>
      </w:r>
    </w:p>
    <w:p>
      <w:pPr>
        <w:pStyle w:val="Heading2"/>
      </w:pPr>
      <w:r>
        <w:t>8.1 Positioning Statement</w:t>
      </w:r>
    </w:p>
    <w:p>
      <w:pPr>
        <w:spacing w:after="120"/>
      </w:pPr>
      <w:r>
        <w:rPr>
          <w:rFonts w:ascii="Calibri" w:hAnsi="Calibri"/>
          <w:b/>
          <w:i w:val="0"/>
          <w:sz w:val="20"/>
        </w:rPr>
        <w:t>EcoFinwize is Africa's AI-powered Financial Intelligence Platform — a conversation-first, multi-persona financial ecosystem that integrates conversational AI, localized regulatory intelligence, financial education, SME advisory, and business productivity into a unified cross-surface platform. Rather than competing solely as a budgeting application, digital bank, bookkeeping platform, or AI chatbot, EcoFinwize operates as an intelligent financial companion that meets African users where they are — in their language, on their device, at their financial stage.</w:t>
      </w:r>
    </w:p>
    <w:p>
      <w:pPr>
        <w:pStyle w:val="Heading2"/>
      </w:pPr>
      <w:r>
        <w:t>8.2 How EcoFinwize Positions Better</w:t>
      </w:r>
    </w:p>
    <w:p>
      <w:pPr>
        <w:spacing w:after="120"/>
      </w:pPr>
      <w:r>
        <w:rPr>
          <w:rFonts w:ascii="Calibri" w:hAnsi="Calibri"/>
          <w:b/>
          <w:i w:val="0"/>
          <w:sz w:val="20"/>
        </w:rPr>
        <w:t>EcoFinwize positions better than incumbents across six key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fill="003D6B" w:val="clear"/>
          </w:tcPr>
          <w:p>
            <w:pPr>
              <w:jc w:val="left"/>
            </w:pPr>
            <w:r>
              <w:rPr>
                <w:rFonts w:ascii="Calibri" w:hAnsi="Calibri"/>
                <w:b/>
                <w:color w:val="FFFFFF"/>
                <w:sz w:val="18"/>
              </w:rPr>
              <w:t>Dimension</w:t>
            </w:r>
          </w:p>
        </w:tc>
        <w:tc>
          <w:tcPr>
            <w:tcW w:type="dxa" w:w="3402"/>
            <w:shd w:fill="003D6B" w:val="clear"/>
          </w:tcPr>
          <w:p>
            <w:pPr>
              <w:jc w:val="left"/>
            </w:pPr>
            <w:r>
              <w:rPr>
                <w:rFonts w:ascii="Calibri" w:hAnsi="Calibri"/>
                <w:b/>
                <w:color w:val="FFFFFF"/>
                <w:sz w:val="18"/>
              </w:rPr>
              <w:t>Incumbent Approach</w:t>
            </w:r>
          </w:p>
        </w:tc>
        <w:tc>
          <w:tcPr>
            <w:tcW w:type="dxa" w:w="4535"/>
            <w:shd w:fill="003D6B" w:val="clear"/>
          </w:tcPr>
          <w:p>
            <w:pPr>
              <w:jc w:val="left"/>
            </w:pPr>
            <w:r>
              <w:rPr>
                <w:rFonts w:ascii="Calibri" w:hAnsi="Calibri"/>
                <w:b/>
                <w:color w:val="FFFFFF"/>
                <w:sz w:val="18"/>
              </w:rPr>
              <w:t>EcoFinwize Advantage</w:t>
            </w:r>
          </w:p>
        </w:tc>
      </w:tr>
      <w:tr>
        <w:tc>
          <w:tcPr>
            <w:tcW w:type="dxa" w:w="1984"/>
          </w:tcPr>
          <w:p>
            <w:r>
              <w:rPr>
                <w:rFonts w:ascii="Calibri" w:hAnsi="Calibri"/>
                <w:b/>
                <w:color w:val="1A1A2E"/>
                <w:sz w:val="17"/>
              </w:rPr>
              <w:t>User Interface</w:t>
            </w:r>
          </w:p>
        </w:tc>
        <w:tc>
          <w:tcPr>
            <w:tcW w:type="dxa" w:w="3402"/>
          </w:tcPr>
          <w:p>
            <w:r>
              <w:rPr>
                <w:rFonts w:ascii="Calibri" w:hAnsi="Calibri"/>
                <w:b w:val="0"/>
                <w:color w:val="1A1A2E"/>
                <w:sz w:val="17"/>
              </w:rPr>
              <w:t>Form-based, dashboard-heavy, requires financial literacy</w:t>
            </w:r>
          </w:p>
        </w:tc>
        <w:tc>
          <w:tcPr>
            <w:tcW w:type="dxa" w:w="4535"/>
          </w:tcPr>
          <w:p>
            <w:r>
              <w:rPr>
                <w:rFonts w:ascii="Calibri" w:hAnsi="Calibri"/>
                <w:b w:val="0"/>
                <w:color w:val="1A1A2E"/>
                <w:sz w:val="17"/>
              </w:rPr>
              <w:t>Conversation-first, voice-enabled, works in 13 African languages</w:t>
            </w:r>
          </w:p>
        </w:tc>
      </w:tr>
      <w:tr>
        <w:tc>
          <w:tcPr>
            <w:tcW w:type="dxa" w:w="1984"/>
          </w:tcPr>
          <w:p>
            <w:r>
              <w:rPr>
                <w:rFonts w:ascii="Calibri" w:hAnsi="Calibri"/>
                <w:b/>
                <w:color w:val="1A1A2E"/>
                <w:sz w:val="17"/>
              </w:rPr>
              <w:t>Income Model</w:t>
            </w:r>
          </w:p>
        </w:tc>
        <w:tc>
          <w:tcPr>
            <w:tcW w:type="dxa" w:w="3402"/>
          </w:tcPr>
          <w:p>
            <w:r>
              <w:rPr>
                <w:rFonts w:ascii="Calibri" w:hAnsi="Calibri"/>
                <w:b w:val="0"/>
                <w:color w:val="1A1A2E"/>
                <w:sz w:val="17"/>
              </w:rPr>
              <w:t>Assumes fixed monthly salary</w:t>
            </w:r>
          </w:p>
        </w:tc>
        <w:tc>
          <w:tcPr>
            <w:tcW w:type="dxa" w:w="4535"/>
          </w:tcPr>
          <w:p>
            <w:r>
              <w:rPr>
                <w:rFonts w:ascii="Calibri" w:hAnsi="Calibri"/>
                <w:b w:val="0"/>
                <w:color w:val="1A1A2E"/>
                <w:sz w:val="17"/>
              </w:rPr>
              <w:t>Adaptive to irregular, freelance, and informal income</w:t>
            </w:r>
          </w:p>
        </w:tc>
      </w:tr>
      <w:tr>
        <w:tc>
          <w:tcPr>
            <w:tcW w:type="dxa" w:w="1984"/>
          </w:tcPr>
          <w:p>
            <w:r>
              <w:rPr>
                <w:rFonts w:ascii="Calibri" w:hAnsi="Calibri"/>
                <w:b/>
                <w:color w:val="1A1A2E"/>
                <w:sz w:val="17"/>
              </w:rPr>
              <w:t>Geographic Scope</w:t>
            </w:r>
          </w:p>
        </w:tc>
        <w:tc>
          <w:tcPr>
            <w:tcW w:type="dxa" w:w="3402"/>
          </w:tcPr>
          <w:p>
            <w:r>
              <w:rPr>
                <w:rFonts w:ascii="Calibri" w:hAnsi="Calibri"/>
                <w:b w:val="0"/>
                <w:color w:val="1A1A2E"/>
                <w:sz w:val="17"/>
              </w:rPr>
              <w:t>Global (US/Europe optimized) or single-country</w:t>
            </w:r>
          </w:p>
        </w:tc>
        <w:tc>
          <w:tcPr>
            <w:tcW w:type="dxa" w:w="4535"/>
          </w:tcPr>
          <w:p>
            <w:r>
              <w:rPr>
                <w:rFonts w:ascii="Calibri" w:hAnsi="Calibri"/>
                <w:b w:val="0"/>
                <w:color w:val="1A1A2E"/>
                <w:sz w:val="17"/>
              </w:rPr>
              <w:t>Pan-African by design — 13 languages, multi-jurisdiction regulatory knowledge</w:t>
            </w:r>
          </w:p>
        </w:tc>
      </w:tr>
      <w:tr>
        <w:tc>
          <w:tcPr>
            <w:tcW w:type="dxa" w:w="1984"/>
          </w:tcPr>
          <w:p>
            <w:r>
              <w:rPr>
                <w:rFonts w:ascii="Calibri" w:hAnsi="Calibri"/>
                <w:b/>
                <w:color w:val="1A1A2E"/>
                <w:sz w:val="17"/>
              </w:rPr>
              <w:t>AI Capability</w:t>
            </w:r>
          </w:p>
        </w:tc>
        <w:tc>
          <w:tcPr>
            <w:tcW w:type="dxa" w:w="3402"/>
          </w:tcPr>
          <w:p>
            <w:r>
              <w:rPr>
                <w:rFonts w:ascii="Calibri" w:hAnsi="Calibri"/>
                <w:b w:val="0"/>
                <w:color w:val="1A1A2E"/>
                <w:sz w:val="17"/>
              </w:rPr>
              <w:t>Single-purpose chatbots (support) or general-purpose AI (no financial domain)</w:t>
            </w:r>
          </w:p>
        </w:tc>
        <w:tc>
          <w:tcPr>
            <w:tcW w:type="dxa" w:w="4535"/>
          </w:tcPr>
          <w:p>
            <w:r>
              <w:rPr>
                <w:rFonts w:ascii="Calibri" w:hAnsi="Calibri"/>
                <w:b w:val="0"/>
                <w:color w:val="1A1A2E"/>
                <w:sz w:val="17"/>
              </w:rPr>
              <w:t>Multi-persona AI, RAG-grounded, 10 action tools, citation-enforced</w:t>
            </w:r>
          </w:p>
        </w:tc>
      </w:tr>
      <w:tr>
        <w:tc>
          <w:tcPr>
            <w:tcW w:type="dxa" w:w="1984"/>
          </w:tcPr>
          <w:p>
            <w:r>
              <w:rPr>
                <w:rFonts w:ascii="Calibri" w:hAnsi="Calibri"/>
                <w:b/>
                <w:color w:val="1A1A2E"/>
                <w:sz w:val="17"/>
              </w:rPr>
              <w:t>Business Tools</w:t>
            </w:r>
          </w:p>
        </w:tc>
        <w:tc>
          <w:tcPr>
            <w:tcW w:type="dxa" w:w="3402"/>
          </w:tcPr>
          <w:p>
            <w:r>
              <w:rPr>
                <w:rFonts w:ascii="Calibri" w:hAnsi="Calibri"/>
                <w:b w:val="0"/>
                <w:color w:val="1A1A2E"/>
                <w:sz w:val="17"/>
              </w:rPr>
              <w:t>Separate apps for accounting, invoicing, planning</w:t>
            </w:r>
          </w:p>
        </w:tc>
        <w:tc>
          <w:tcPr>
            <w:tcW w:type="dxa" w:w="4535"/>
          </w:tcPr>
          <w:p>
            <w:r>
              <w:rPr>
                <w:rFonts w:ascii="Calibri" w:hAnsi="Calibri"/>
                <w:b w:val="0"/>
                <w:color w:val="1A1A2E"/>
                <w:sz w:val="17"/>
              </w:rPr>
              <w:t>Unified platform — AI generates plans, invoices, tasks from conversation</w:t>
            </w:r>
          </w:p>
        </w:tc>
      </w:tr>
      <w:tr>
        <w:tc>
          <w:tcPr>
            <w:tcW w:type="dxa" w:w="1984"/>
          </w:tcPr>
          <w:p>
            <w:r>
              <w:rPr>
                <w:rFonts w:ascii="Calibri" w:hAnsi="Calibri"/>
                <w:b/>
                <w:color w:val="1A1A2E"/>
                <w:sz w:val="17"/>
              </w:rPr>
              <w:t>Cost to User</w:t>
            </w:r>
          </w:p>
        </w:tc>
        <w:tc>
          <w:tcPr>
            <w:tcW w:type="dxa" w:w="3402"/>
          </w:tcPr>
          <w:p>
            <w:r>
              <w:rPr>
                <w:rFonts w:ascii="Calibri" w:hAnsi="Calibri"/>
                <w:b w:val="0"/>
                <w:color w:val="1A1A2E"/>
                <w:sz w:val="17"/>
              </w:rPr>
              <w:t>Free tier limited or $5–15/month (out of reach for most Africans)</w:t>
            </w:r>
          </w:p>
        </w:tc>
        <w:tc>
          <w:tcPr>
            <w:tcW w:type="dxa" w:w="4535"/>
          </w:tcPr>
          <w:p>
            <w:r>
              <w:rPr>
                <w:rFonts w:ascii="Calibri" w:hAnsi="Calibri"/>
                <w:b w:val="0"/>
                <w:color w:val="1A1A2E"/>
                <w:sz w:val="17"/>
              </w:rPr>
              <w:t>Free tier with ads, Pro at $3–5/mo, Business at $10–15/mo — under $0.05/chat</w:t>
            </w:r>
          </w:p>
        </w:tc>
      </w:tr>
    </w:tbl>
    <w:p>
      <w:pPr>
        <w:pStyle w:val="Heading2"/>
      </w:pPr>
      <w:r>
        <w:t>8.3 Target Market Segments</w:t>
      </w:r>
    </w:p>
    <w:p>
      <w:pPr>
        <w:pStyle w:val="ListBullet"/>
      </w:pPr>
      <w:r>
        <w:rPr>
          <w:rFonts w:ascii="Calibri" w:hAnsi="Calibri"/>
          <w:b/>
          <w:sz w:val="20"/>
        </w:rPr>
        <w:t xml:space="preserve">Segment 1: </w:t>
      </w:r>
      <w:r>
        <w:rPr>
          <w:rFonts w:ascii="Calibri" w:hAnsi="Calibri"/>
          <w:sz w:val="20"/>
        </w:rPr>
        <w:t xml:space="preserve"> Students and young professionals building foundational financial literacy (ages 18–30)</w:t>
      </w:r>
    </w:p>
    <w:p>
      <w:pPr>
        <w:pStyle w:val="ListBullet"/>
      </w:pPr>
      <w:r>
        <w:rPr>
          <w:rFonts w:ascii="Calibri" w:hAnsi="Calibri"/>
          <w:b/>
          <w:sz w:val="20"/>
        </w:rPr>
        <w:t xml:space="preserve">Segment 2: </w:t>
      </w:r>
      <w:r>
        <w:rPr>
          <w:rFonts w:ascii="Calibri" w:hAnsi="Calibri"/>
          <w:sz w:val="20"/>
        </w:rPr>
        <w:t xml:space="preserve"> Freelancers, gig workers, and informal sector earners needing irregular income management</w:t>
      </w:r>
    </w:p>
    <w:p>
      <w:pPr>
        <w:pStyle w:val="ListBullet"/>
      </w:pPr>
      <w:r>
        <w:rPr>
          <w:rFonts w:ascii="Calibri" w:hAnsi="Calibri"/>
          <w:b/>
          <w:sz w:val="20"/>
        </w:rPr>
        <w:t xml:space="preserve">Segment 3: </w:t>
      </w:r>
      <w:r>
        <w:rPr>
          <w:rFonts w:ascii="Calibri" w:hAnsi="Calibri"/>
          <w:sz w:val="20"/>
        </w:rPr>
        <w:t xml:space="preserve"> Micro and small business owners (1–10 employees) needing affordable business management</w:t>
      </w:r>
    </w:p>
    <w:p>
      <w:pPr>
        <w:pStyle w:val="ListBullet"/>
      </w:pPr>
      <w:r>
        <w:rPr>
          <w:rFonts w:ascii="Calibri" w:hAnsi="Calibri"/>
          <w:b/>
          <w:sz w:val="20"/>
        </w:rPr>
        <w:t xml:space="preserve">Segment 4: </w:t>
      </w:r>
      <w:r>
        <w:rPr>
          <w:rFonts w:ascii="Calibri" w:hAnsi="Calibri"/>
          <w:sz w:val="20"/>
        </w:rPr>
        <w:t xml:space="preserve"> Users seeking financial education in local languages (pan-African, especially Nigeria, Kenya, Ghana, South Africa)</w:t>
      </w:r>
    </w:p>
    <w:p>
      <w:pPr>
        <w:pStyle w:val="ListBullet"/>
      </w:pPr>
      <w:r>
        <w:rPr>
          <w:rFonts w:ascii="Calibri" w:hAnsi="Calibri"/>
          <w:b/>
          <w:sz w:val="20"/>
        </w:rPr>
        <w:t xml:space="preserve">Segment 5: </w:t>
      </w:r>
      <w:r>
        <w:rPr>
          <w:rFonts w:ascii="Calibri" w:hAnsi="Calibri"/>
          <w:sz w:val="20"/>
        </w:rPr>
        <w:t xml:space="preserve"> Users underserved by existing wealthtech (no predictable salary, no formal employment)</w:t>
      </w:r>
    </w:p>
    <w:p>
      <w:pPr>
        <w:pStyle w:val="Heading2"/>
      </w:pPr>
      <w:r>
        <w:t>8.4 Go-to-Market Positioning Principles</w:t>
      </w:r>
    </w:p>
    <w:p>
      <w:pPr>
        <w:pStyle w:val="ListBullet"/>
      </w:pPr>
      <w:r>
        <w:rPr>
          <w:rFonts w:ascii="Calibri" w:hAnsi="Calibri"/>
          <w:b/>
          <w:sz w:val="20"/>
        </w:rPr>
        <w:t xml:space="preserve">Complement, don't compete: </w:t>
      </w:r>
      <w:r>
        <w:rPr>
          <w:rFonts w:ascii="Calibri" w:hAnsi="Calibri"/>
          <w:sz w:val="20"/>
        </w:rPr>
        <w:t xml:space="preserve"> Not "another fintech app" — position as an AI financial companion</w:t>
      </w:r>
    </w:p>
    <w:p>
      <w:pPr>
        <w:pStyle w:val="ListBullet"/>
      </w:pPr>
      <w:r>
        <w:rPr>
          <w:rFonts w:ascii="Calibri" w:hAnsi="Calibri"/>
          <w:b/>
          <w:sz w:val="20"/>
        </w:rPr>
        <w:t xml:space="preserve">African-first, not Africa-added: </w:t>
      </w:r>
      <w:r>
        <w:rPr>
          <w:rFonts w:ascii="Calibri" w:hAnsi="Calibri"/>
          <w:sz w:val="20"/>
        </w:rPr>
        <w:t xml:space="preserve"> 13 languages across Nigeria, Kenya, Ghana, South Africa, and pan-African diaspora</w:t>
      </w:r>
    </w:p>
    <w:p>
      <w:pPr>
        <w:pStyle w:val="ListBullet"/>
      </w:pPr>
      <w:r>
        <w:rPr>
          <w:rFonts w:ascii="Calibri" w:hAnsi="Calibri"/>
          <w:b/>
          <w:sz w:val="20"/>
        </w:rPr>
        <w:t xml:space="preserve">Affordable by design: </w:t>
      </w:r>
      <w:r>
        <w:rPr>
          <w:rFonts w:ascii="Calibri" w:hAnsi="Calibri"/>
          <w:sz w:val="20"/>
        </w:rPr>
        <w:t xml:space="preserve"> Free tier with ads for acquisition; Pro/Business tiers for revenue; AI at under $0.05/chat</w:t>
      </w:r>
    </w:p>
    <w:p>
      <w:pPr>
        <w:pStyle w:val="ListBullet"/>
      </w:pPr>
      <w:r>
        <w:rPr>
          <w:rFonts w:ascii="Calibri" w:hAnsi="Calibri"/>
          <w:b/>
          <w:sz w:val="20"/>
        </w:rPr>
        <w:t xml:space="preserve">Safety as differentiator: </w:t>
      </w:r>
      <w:r>
        <w:rPr>
          <w:rFonts w:ascii="Calibri" w:hAnsi="Calibri"/>
          <w:sz w:val="20"/>
        </w:rPr>
        <w:t xml:space="preserve"> RAG-grounded citations, PII redaction, input/output guardrails, financial red-flag scanning</w:t>
      </w:r>
    </w:p>
    <w:p>
      <w:pPr>
        <w:pStyle w:val="ListBullet"/>
      </w:pPr>
      <w:r>
        <w:rPr>
          <w:rFonts w:ascii="Calibri" w:hAnsi="Calibri"/>
          <w:b/>
          <w:sz w:val="20"/>
        </w:rPr>
        <w:t xml:space="preserve">Ecosystem enabler: </w:t>
      </w:r>
      <w:r>
        <w:rPr>
          <w:rFonts w:ascii="Calibri" w:hAnsi="Calibri"/>
          <w:sz w:val="20"/>
        </w:rPr>
        <w:t xml:space="preserve"> Collaborate with banks, wealthtech, payment processors — EcoFinwize as the intelligence layer</w:t>
      </w:r>
    </w:p>
    <w:p>
      <w:r>
        <w:br w:type="page"/>
      </w:r>
    </w:p>
    <w:p>
      <w:pPr>
        <w:pStyle w:val="Heading1"/>
      </w:pPr>
      <w:r>
        <w:t>9. Market Validation &amp; African Fintech Data (2026)</w:t>
      </w:r>
    </w:p>
    <w:p>
      <w:pPr>
        <w:pStyle w:val="Heading2"/>
      </w:pPr>
      <w:r>
        <w:t>9.1 Structural Market Validation</w:t>
      </w:r>
    </w:p>
    <w:p>
      <w:pPr>
        <w:spacing w:after="120"/>
      </w:pPr>
      <w:r>
        <w:rPr>
          <w:rFonts w:ascii="Calibri" w:hAnsi="Calibri"/>
          <w:b w:val="0"/>
          <w:i w:val="0"/>
          <w:sz w:val="20"/>
        </w:rPr>
        <w:t>The following macroeconomic and market indicators validate the African market opportunity that EcoFinwize addresses: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shd w:fill="003D6B" w:val="clear"/>
          </w:tcPr>
          <w:p>
            <w:pPr>
              <w:jc w:val="left"/>
            </w:pPr>
            <w:r>
              <w:rPr>
                <w:rFonts w:ascii="Calibri" w:hAnsi="Calibri"/>
                <w:b/>
                <w:color w:val="FFFFFF"/>
                <w:sz w:val="18"/>
              </w:rPr>
              <w:t>Indicator</w:t>
            </w:r>
          </w:p>
        </w:tc>
        <w:tc>
          <w:tcPr>
            <w:tcW w:type="dxa" w:w="2835"/>
            <w:shd w:fill="003D6B" w:val="clear"/>
          </w:tcPr>
          <w:p>
            <w:pPr>
              <w:jc w:val="left"/>
            </w:pPr>
            <w:r>
              <w:rPr>
                <w:rFonts w:ascii="Calibri" w:hAnsi="Calibri"/>
                <w:b/>
                <w:color w:val="FFFFFF"/>
                <w:sz w:val="18"/>
              </w:rPr>
              <w:t>Value</w:t>
            </w:r>
          </w:p>
        </w:tc>
        <w:tc>
          <w:tcPr>
            <w:tcW w:type="dxa" w:w="2835"/>
            <w:shd w:fill="003D6B" w:val="clear"/>
          </w:tcPr>
          <w:p>
            <w:pPr>
              <w:jc w:val="left"/>
            </w:pPr>
            <w:r>
              <w:rPr>
                <w:rFonts w:ascii="Calibri" w:hAnsi="Calibri"/>
                <w:b/>
                <w:color w:val="FFFFFF"/>
                <w:sz w:val="18"/>
              </w:rPr>
              <w:t>Source</w:t>
            </w:r>
          </w:p>
        </w:tc>
      </w:tr>
      <w:tr>
        <w:tc>
          <w:tcPr>
            <w:tcW w:type="dxa" w:w="3402"/>
          </w:tcPr>
          <w:p>
            <w:r>
              <w:rPr>
                <w:rFonts w:ascii="Calibri" w:hAnsi="Calibri"/>
                <w:b/>
                <w:color w:val="1A1A2E"/>
                <w:sz w:val="17"/>
              </w:rPr>
              <w:t>Projected African fintech revenue by 2030</w:t>
            </w:r>
          </w:p>
        </w:tc>
        <w:tc>
          <w:tcPr>
            <w:tcW w:type="dxa" w:w="2835"/>
          </w:tcPr>
          <w:p>
            <w:r>
              <w:rPr>
                <w:rFonts w:ascii="Calibri" w:hAnsi="Calibri"/>
                <w:b w:val="0"/>
                <w:color w:val="1A1A2E"/>
                <w:sz w:val="17"/>
              </w:rPr>
              <w:t>$65 billion (13x growth)</w:t>
            </w:r>
          </w:p>
        </w:tc>
        <w:tc>
          <w:tcPr>
            <w:tcW w:type="dxa" w:w="2835"/>
          </w:tcPr>
          <w:p>
            <w:r>
              <w:rPr>
                <w:rFonts w:ascii="Calibri" w:hAnsi="Calibri"/>
                <w:b w:val="0"/>
                <w:color w:val="1A1A2E"/>
                <w:sz w:val="17"/>
              </w:rPr>
              <w:t>BCG, March 2026</w:t>
            </w:r>
          </w:p>
        </w:tc>
      </w:tr>
      <w:tr>
        <w:tc>
          <w:tcPr>
            <w:tcW w:type="dxa" w:w="3402"/>
          </w:tcPr>
          <w:p>
            <w:r>
              <w:rPr>
                <w:rFonts w:ascii="Calibri" w:hAnsi="Calibri"/>
                <w:b/>
                <w:color w:val="1A1A2E"/>
                <w:sz w:val="17"/>
              </w:rPr>
              <w:t>African adults still unbanked</w:t>
            </w:r>
          </w:p>
        </w:tc>
        <w:tc>
          <w:tcPr>
            <w:tcW w:type="dxa" w:w="2835"/>
          </w:tcPr>
          <w:p>
            <w:r>
              <w:rPr>
                <w:rFonts w:ascii="Calibri" w:hAnsi="Calibri"/>
                <w:b w:val="0"/>
                <w:color w:val="1A1A2E"/>
                <w:sz w:val="17"/>
              </w:rPr>
              <w:t>~300 million</w:t>
            </w:r>
          </w:p>
        </w:tc>
        <w:tc>
          <w:tcPr>
            <w:tcW w:type="dxa" w:w="2835"/>
          </w:tcPr>
          <w:p>
            <w:r>
              <w:rPr>
                <w:rFonts w:ascii="Calibri" w:hAnsi="Calibri"/>
                <w:b w:val="0"/>
                <w:color w:val="1A1A2E"/>
                <w:sz w:val="17"/>
              </w:rPr>
              <w:t>EFInA, World Bank 2025</w:t>
            </w:r>
          </w:p>
        </w:tc>
      </w:tr>
      <w:tr>
        <w:tc>
          <w:tcPr>
            <w:tcW w:type="dxa" w:w="3402"/>
          </w:tcPr>
          <w:p>
            <w:r>
              <w:rPr>
                <w:rFonts w:ascii="Calibri" w:hAnsi="Calibri"/>
                <w:b/>
                <w:color w:val="1A1A2E"/>
                <w:sz w:val="17"/>
              </w:rPr>
              <w:t>Mobile internet users in Africa</w:t>
            </w:r>
          </w:p>
        </w:tc>
        <w:tc>
          <w:tcPr>
            <w:tcW w:type="dxa" w:w="2835"/>
          </w:tcPr>
          <w:p>
            <w:r>
              <w:rPr>
                <w:rFonts w:ascii="Calibri" w:hAnsi="Calibri"/>
                <w:b w:val="0"/>
                <w:color w:val="1A1A2E"/>
                <w:sz w:val="17"/>
              </w:rPr>
              <w:t>~475 million and growing</w:t>
            </w:r>
          </w:p>
        </w:tc>
        <w:tc>
          <w:tcPr>
            <w:tcW w:type="dxa" w:w="2835"/>
          </w:tcPr>
          <w:p>
            <w:r>
              <w:rPr>
                <w:rFonts w:ascii="Calibri" w:hAnsi="Calibri"/>
                <w:b w:val="0"/>
                <w:color w:val="1A1A2E"/>
                <w:sz w:val="17"/>
              </w:rPr>
              <w:t>GSMA 2025</w:t>
            </w:r>
          </w:p>
        </w:tc>
      </w:tr>
      <w:tr>
        <w:tc>
          <w:tcPr>
            <w:tcW w:type="dxa" w:w="3402"/>
          </w:tcPr>
          <w:p>
            <w:r>
              <w:rPr>
                <w:rFonts w:ascii="Calibri" w:hAnsi="Calibri"/>
                <w:b/>
                <w:color w:val="1A1A2E"/>
                <w:sz w:val="17"/>
              </w:rPr>
              <w:t>African fintech funding (2025)</w:t>
            </w:r>
          </w:p>
        </w:tc>
        <w:tc>
          <w:tcPr>
            <w:tcW w:type="dxa" w:w="2835"/>
          </w:tcPr>
          <w:p>
            <w:r>
              <w:rPr>
                <w:rFonts w:ascii="Calibri" w:hAnsi="Calibri"/>
                <w:b w:val="0"/>
                <w:color w:val="1A1A2E"/>
                <w:sz w:val="17"/>
              </w:rPr>
              <w:t>$3.4 billion</w:t>
            </w:r>
          </w:p>
        </w:tc>
        <w:tc>
          <w:tcPr>
            <w:tcW w:type="dxa" w:w="2835"/>
          </w:tcPr>
          <w:p>
            <w:r>
              <w:rPr>
                <w:rFonts w:ascii="Calibri" w:hAnsi="Calibri"/>
                <w:b w:val="0"/>
                <w:color w:val="1A1A2E"/>
                <w:sz w:val="17"/>
              </w:rPr>
              <w:t>Partech Africa, 2026</w:t>
            </w:r>
          </w:p>
        </w:tc>
      </w:tr>
      <w:tr>
        <w:tc>
          <w:tcPr>
            <w:tcW w:type="dxa" w:w="3402"/>
          </w:tcPr>
          <w:p>
            <w:r>
              <w:rPr>
                <w:rFonts w:ascii="Calibri" w:hAnsi="Calibri"/>
                <w:b/>
                <w:color w:val="1A1A2E"/>
                <w:sz w:val="17"/>
              </w:rPr>
              <w:t>ME&amp;A fintech market by 2033</w:t>
            </w:r>
          </w:p>
        </w:tc>
        <w:tc>
          <w:tcPr>
            <w:tcW w:type="dxa" w:w="2835"/>
          </w:tcPr>
          <w:p>
            <w:r>
              <w:rPr>
                <w:rFonts w:ascii="Calibri" w:hAnsi="Calibri"/>
                <w:b w:val="0"/>
                <w:color w:val="1A1A2E"/>
                <w:sz w:val="17"/>
              </w:rPr>
              <w:t>$103.65 billion (21.4% CAGR)</w:t>
            </w:r>
          </w:p>
        </w:tc>
        <w:tc>
          <w:tcPr>
            <w:tcW w:type="dxa" w:w="2835"/>
          </w:tcPr>
          <w:p>
            <w:r>
              <w:rPr>
                <w:rFonts w:ascii="Calibri" w:hAnsi="Calibri"/>
                <w:b w:val="0"/>
                <w:color w:val="1A1A2E"/>
                <w:sz w:val="17"/>
              </w:rPr>
              <w:t>Market Data Forecast, 2025</w:t>
            </w:r>
          </w:p>
        </w:tc>
      </w:tr>
      <w:tr>
        <w:tc>
          <w:tcPr>
            <w:tcW w:type="dxa" w:w="3402"/>
          </w:tcPr>
          <w:p>
            <w:r>
              <w:rPr>
                <w:rFonts w:ascii="Calibri" w:hAnsi="Calibri"/>
                <w:b/>
                <w:color w:val="1A1A2E"/>
                <w:sz w:val="17"/>
              </w:rPr>
              <w:t>Nigeria's digital investment market by 2028</w:t>
            </w:r>
          </w:p>
        </w:tc>
        <w:tc>
          <w:tcPr>
            <w:tcW w:type="dxa" w:w="2835"/>
          </w:tcPr>
          <w:p>
            <w:r>
              <w:rPr>
                <w:rFonts w:ascii="Calibri" w:hAnsi="Calibri"/>
                <w:b w:val="0"/>
                <w:color w:val="1A1A2E"/>
                <w:sz w:val="17"/>
              </w:rPr>
              <w:t>$14.34 billion</w:t>
            </w:r>
          </w:p>
        </w:tc>
        <w:tc>
          <w:tcPr>
            <w:tcW w:type="dxa" w:w="2835"/>
          </w:tcPr>
          <w:p>
            <w:r>
              <w:rPr>
                <w:rFonts w:ascii="Calibri" w:hAnsi="Calibri"/>
                <w:b w:val="0"/>
                <w:color w:val="1A1A2E"/>
                <w:sz w:val="17"/>
              </w:rPr>
              <w:t>Statista, 2025</w:t>
            </w:r>
          </w:p>
        </w:tc>
      </w:tr>
      <w:tr>
        <w:tc>
          <w:tcPr>
            <w:tcW w:type="dxa" w:w="3402"/>
          </w:tcPr>
          <w:p>
            <w:r>
              <w:rPr>
                <w:rFonts w:ascii="Calibri" w:hAnsi="Calibri"/>
                <w:b/>
                <w:color w:val="1A1A2E"/>
                <w:sz w:val="17"/>
              </w:rPr>
              <w:t>African banking sector ROE (2024)</w:t>
            </w:r>
          </w:p>
        </w:tc>
        <w:tc>
          <w:tcPr>
            <w:tcW w:type="dxa" w:w="2835"/>
          </w:tcPr>
          <w:p>
            <w:r>
              <w:rPr>
                <w:rFonts w:ascii="Calibri" w:hAnsi="Calibri"/>
                <w:b w:val="0"/>
                <w:color w:val="1A1A2E"/>
                <w:sz w:val="17"/>
              </w:rPr>
              <w:t>19% (vs. 10% global average)</w:t>
            </w:r>
          </w:p>
        </w:tc>
        <w:tc>
          <w:tcPr>
            <w:tcW w:type="dxa" w:w="2835"/>
          </w:tcPr>
          <w:p>
            <w:r>
              <w:rPr>
                <w:rFonts w:ascii="Calibri" w:hAnsi="Calibri"/>
                <w:b w:val="0"/>
                <w:color w:val="1A1A2E"/>
                <w:sz w:val="17"/>
              </w:rPr>
              <w:t>McKinsey, 2026</w:t>
            </w:r>
          </w:p>
        </w:tc>
      </w:tr>
      <w:tr>
        <w:tc>
          <w:tcPr>
            <w:tcW w:type="dxa" w:w="3402"/>
          </w:tcPr>
          <w:p>
            <w:r>
              <w:rPr>
                <w:rFonts w:ascii="Calibri" w:hAnsi="Calibri"/>
                <w:b/>
                <w:color w:val="1A1A2E"/>
                <w:sz w:val="17"/>
              </w:rPr>
              <w:t>AI's potential GDP contribution to Africa by 2035</w:t>
            </w:r>
          </w:p>
        </w:tc>
        <w:tc>
          <w:tcPr>
            <w:tcW w:type="dxa" w:w="2835"/>
          </w:tcPr>
          <w:p>
            <w:r>
              <w:rPr>
                <w:rFonts w:ascii="Calibri" w:hAnsi="Calibri"/>
                <w:b w:val="0"/>
                <w:color w:val="1A1A2E"/>
                <w:sz w:val="17"/>
              </w:rPr>
              <w:t>Up to $1 trillion</w:t>
            </w:r>
          </w:p>
        </w:tc>
        <w:tc>
          <w:tcPr>
            <w:tcW w:type="dxa" w:w="2835"/>
          </w:tcPr>
          <w:p>
            <w:r>
              <w:rPr>
                <w:rFonts w:ascii="Calibri" w:hAnsi="Calibri"/>
                <w:b w:val="0"/>
                <w:color w:val="1A1A2E"/>
                <w:sz w:val="17"/>
              </w:rPr>
              <w:t>African Development Bank</w:t>
            </w:r>
          </w:p>
        </w:tc>
      </w:tr>
      <w:tr>
        <w:tc>
          <w:tcPr>
            <w:tcW w:type="dxa" w:w="3402"/>
          </w:tcPr>
          <w:p>
            <w:r>
              <w:rPr>
                <w:rFonts w:ascii="Calibri" w:hAnsi="Calibri"/>
                <w:b/>
                <w:color w:val="1A1A2E"/>
                <w:sz w:val="17"/>
              </w:rPr>
              <w:t>Embedded finance market (Africa, by 2030)</w:t>
            </w:r>
          </w:p>
        </w:tc>
        <w:tc>
          <w:tcPr>
            <w:tcW w:type="dxa" w:w="2835"/>
          </w:tcPr>
          <w:p>
            <w:r>
              <w:rPr>
                <w:rFonts w:ascii="Calibri" w:hAnsi="Calibri"/>
                <w:b w:val="0"/>
                <w:color w:val="1A1A2E"/>
                <w:sz w:val="17"/>
              </w:rPr>
              <w:t>$18 billion</w:t>
            </w:r>
          </w:p>
        </w:tc>
        <w:tc>
          <w:tcPr>
            <w:tcW w:type="dxa" w:w="2835"/>
          </w:tcPr>
          <w:p>
            <w:r>
              <w:rPr>
                <w:rFonts w:ascii="Calibri" w:hAnsi="Calibri"/>
                <w:b w:val="0"/>
                <w:color w:val="1A1A2E"/>
                <w:sz w:val="17"/>
              </w:rPr>
              <w:t>Industry projections</w:t>
            </w:r>
          </w:p>
        </w:tc>
      </w:tr>
    </w:tbl>
    <w:p>
      <w:pPr>
        <w:pStyle w:val="Heading2"/>
      </w:pPr>
      <w:r>
        <w:t>9.2 Competitive Gap Validation</w:t>
      </w:r>
    </w:p>
    <w:p>
      <w:pPr>
        <w:spacing w:after="120"/>
      </w:pPr>
      <w:r>
        <w:rPr>
          <w:rFonts w:ascii="Calibri" w:hAnsi="Calibri"/>
          <w:b w:val="0"/>
          <w:i w:val="0"/>
          <w:sz w:val="20"/>
        </w:rPr>
        <w:t>The 2026 competitive landscape confirms a structural gap in the African fintech market: there is no existing platform that combines conversational AI with multi-persona financial advisory, localized regulatory intelligence, adaptive budgeting, SME business tools, and multilingual support for African markets. The closest global analogues (Cleo, Monarch Money, Copilot Money) are exclusively US/Europe-focused. The closest African platforms (PiggyVest, Cowrywise, Kuda, OPay) lack AI-native financial advisory. The gap is real, large, and growing as African consumers become more sophisticated in their financial needs and more comfortable with AI-powered interfaces.</w:t>
      </w:r>
    </w:p>
    <w:p>
      <w:pPr>
        <w:pStyle w:val="Heading2"/>
      </w:pPr>
      <w:r>
        <w:t>9.3 Total Addressable Market</w:t>
      </w:r>
    </w:p>
    <w:p>
      <w:pPr>
        <w:spacing w:after="120"/>
      </w:pPr>
      <w:r>
        <w:rPr>
          <w:rFonts w:ascii="Calibri" w:hAnsi="Calibri"/>
          <w:b w:val="0"/>
          <w:i w:val="0"/>
          <w:sz w:val="20"/>
        </w:rPr>
        <w:t>EcoFinwize's total addressable market encompasses the ~300 million unbanked or underbanked African adults, plus millions more with bank accounts who lack access to personalized financial intelligence. Within this, the near-term addressable market focuses on Nigeria (the largest fintech market in Africa with the most sophisticated digital financial ecosystem), with expansion to Kenya, Ghana, and South Africa. Even capturing 0.5% of the ~200 million smartphone users in these markets represents a potential user base of 1 million users. At current projected monetization rates (free tier → 5% paid conversion, Pro at $3–5/mo, Business at $10–15/mo), this translates to meaningful revenue potential while maintaining the free tier as the primary acquisition engine.</w:t>
      </w:r>
    </w:p>
    <w:p>
      <w:r>
        <w:br w:type="page"/>
      </w:r>
    </w:p>
    <w:p>
      <w:pPr>
        <w:pStyle w:val="Heading1"/>
      </w:pPr>
      <w:r>
        <w:t>10. Risk Factors &amp; Mitigation for African Markets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shd w:fill="003D6B" w:val="clear"/>
          </w:tcPr>
          <w:p>
            <w:pPr>
              <w:jc w:val="left"/>
            </w:pPr>
            <w:r>
              <w:rPr>
                <w:rFonts w:ascii="Calibri" w:hAnsi="Calibri"/>
                <w:b/>
                <w:color w:val="FFFFFF"/>
                <w:sz w:val="18"/>
              </w:rPr>
              <w:t>Risk</w:t>
            </w:r>
          </w:p>
        </w:tc>
        <w:tc>
          <w:tcPr>
            <w:tcW w:type="dxa" w:w="1417"/>
            <w:shd w:fill="003D6B" w:val="clear"/>
          </w:tcPr>
          <w:p>
            <w:pPr>
              <w:jc w:val="left"/>
            </w:pPr>
            <w:r>
              <w:rPr>
                <w:rFonts w:ascii="Calibri" w:hAnsi="Calibri"/>
                <w:b/>
                <w:color w:val="FFFFFF"/>
                <w:sz w:val="18"/>
              </w:rPr>
              <w:t>Severity</w:t>
            </w:r>
          </w:p>
        </w:tc>
        <w:tc>
          <w:tcPr>
            <w:tcW w:type="dxa" w:w="6520"/>
            <w:shd w:fill="003D6B" w:val="clear"/>
          </w:tcPr>
          <w:p>
            <w:pPr>
              <w:jc w:val="left"/>
            </w:pPr>
            <w:r>
              <w:rPr>
                <w:rFonts w:ascii="Calibri" w:hAnsi="Calibri"/>
                <w:b/>
                <w:color w:val="FFFFFF"/>
                <w:sz w:val="18"/>
              </w:rPr>
              <w:t>Mitigation Strategy</w:t>
            </w:r>
          </w:p>
        </w:tc>
      </w:tr>
      <w:tr>
        <w:tc>
          <w:tcPr>
            <w:tcW w:type="dxa" w:w="2268"/>
          </w:tcPr>
          <w:p>
            <w:r>
              <w:rPr>
                <w:rFonts w:ascii="Calibri" w:hAnsi="Calibri"/>
                <w:b/>
                <w:color w:val="1A1A2E"/>
                <w:sz w:val="16"/>
              </w:rPr>
              <w:t>Global AI platforms enter African market</w:t>
            </w:r>
          </w:p>
        </w:tc>
        <w:tc>
          <w:tcPr>
            <w:tcW w:type="dxa" w:w="1417"/>
          </w:tcPr>
          <w:p>
            <w:r>
              <w:rPr>
                <w:rFonts w:ascii="Calibri" w:hAnsi="Calibri"/>
                <w:b w:val="0"/>
                <w:color w:val="1A1A2E"/>
                <w:sz w:val="16"/>
              </w:rPr>
              <w:t>Medium</w:t>
            </w:r>
          </w:p>
        </w:tc>
        <w:tc>
          <w:tcPr>
            <w:tcW w:type="dxa" w:w="6520"/>
          </w:tcPr>
          <w:p>
            <w:r>
              <w:rPr>
                <w:rFonts w:ascii="Calibri" w:hAnsi="Calibri"/>
                <w:b w:val="0"/>
                <w:color w:val="1A1A2E"/>
                <w:sz w:val="16"/>
              </w:rPr>
              <w:t>Localization moat: 13 languages, RAG knowledge base, offline engineering. General AI cannot match domain-specific African financial intelligence without 2–3 years of investment.</w:t>
            </w:r>
          </w:p>
        </w:tc>
      </w:tr>
      <w:tr>
        <w:tc>
          <w:tcPr>
            <w:tcW w:type="dxa" w:w="2268"/>
          </w:tcPr>
          <w:p>
            <w:r>
              <w:rPr>
                <w:rFonts w:ascii="Calibri" w:hAnsi="Calibri"/>
                <w:b/>
                <w:color w:val="1A1A2E"/>
                <w:sz w:val="16"/>
              </w:rPr>
              <w:t>Wealthtech incumbents add AI advisory</w:t>
            </w:r>
          </w:p>
        </w:tc>
        <w:tc>
          <w:tcPr>
            <w:tcW w:type="dxa" w:w="1417"/>
          </w:tcPr>
          <w:p>
            <w:r>
              <w:rPr>
                <w:rFonts w:ascii="Calibri" w:hAnsi="Calibri"/>
                <w:b w:val="0"/>
                <w:color w:val="1A1A2E"/>
                <w:sz w:val="16"/>
              </w:rPr>
              <w:t>Medium</w:t>
            </w:r>
          </w:p>
        </w:tc>
        <w:tc>
          <w:tcPr>
            <w:tcW w:type="dxa" w:w="6520"/>
          </w:tcPr>
          <w:p>
            <w:r>
              <w:rPr>
                <w:rFonts w:ascii="Calibri" w:hAnsi="Calibri"/>
                <w:b w:val="0"/>
                <w:color w:val="1A1A2E"/>
                <w:sz w:val="16"/>
              </w:rPr>
              <w:t>Partnership strategy positions EcoFinwize as intelligence layer. Incumbents' AI will likely remain operational; true financial advisory requires RAG, guardrails, and multi-persona architecture that is non-trivial to build.</w:t>
            </w:r>
          </w:p>
        </w:tc>
      </w:tr>
      <w:tr>
        <w:tc>
          <w:tcPr>
            <w:tcW w:type="dxa" w:w="2268"/>
          </w:tcPr>
          <w:p>
            <w:r>
              <w:rPr>
                <w:rFonts w:ascii="Calibri" w:hAnsi="Calibri"/>
                <w:b/>
                <w:color w:val="1A1A2E"/>
                <w:sz w:val="16"/>
              </w:rPr>
              <w:t>Regulatory uncertainty for AI financial advice</w:t>
            </w:r>
          </w:p>
        </w:tc>
        <w:tc>
          <w:tcPr>
            <w:tcW w:type="dxa" w:w="1417"/>
          </w:tcPr>
          <w:p>
            <w:r>
              <w:rPr>
                <w:rFonts w:ascii="Calibri" w:hAnsi="Calibri"/>
                <w:b w:val="0"/>
                <w:color w:val="1A1A2E"/>
                <w:sz w:val="16"/>
              </w:rPr>
              <w:t>High</w:t>
            </w:r>
          </w:p>
        </w:tc>
        <w:tc>
          <w:tcPr>
            <w:tcW w:type="dxa" w:w="6520"/>
          </w:tcPr>
          <w:p>
            <w:r>
              <w:rPr>
                <w:rFonts w:ascii="Calibri" w:hAnsi="Calibri"/>
                <w:b w:val="0"/>
                <w:color w:val="1A1A2E"/>
                <w:sz w:val="16"/>
              </w:rPr>
              <w:t>Safety architecture already implemented: PII redaction, input/output guardrails, citation enforcement, financial disclaimers. Sandbox participation in Nigeria/Kenya recommended. NDPA/GDPR compliance.</w:t>
            </w:r>
          </w:p>
        </w:tc>
      </w:tr>
      <w:tr>
        <w:tc>
          <w:tcPr>
            <w:tcW w:type="dxa" w:w="2268"/>
          </w:tcPr>
          <w:p>
            <w:r>
              <w:rPr>
                <w:rFonts w:ascii="Calibri" w:hAnsi="Calibri"/>
                <w:b/>
                <w:color w:val="1A1A2E"/>
                <w:sz w:val="16"/>
              </w:rPr>
              <w:t>Internet connectivity and data cost barriers</w:t>
            </w:r>
          </w:p>
        </w:tc>
        <w:tc>
          <w:tcPr>
            <w:tcW w:type="dxa" w:w="1417"/>
          </w:tcPr>
          <w:p>
            <w:r>
              <w:rPr>
                <w:rFonts w:ascii="Calibri" w:hAnsi="Calibri"/>
                <w:b w:val="0"/>
                <w:color w:val="1A1A2E"/>
                <w:sz w:val="16"/>
              </w:rPr>
              <w:t>Medium</w:t>
            </w:r>
          </w:p>
        </w:tc>
        <w:tc>
          <w:tcPr>
            <w:tcW w:type="dxa" w:w="6520"/>
          </w:tcPr>
          <w:p>
            <w:r>
              <w:rPr>
                <w:rFonts w:ascii="Calibri" w:hAnsi="Calibri"/>
                <w:b w:val="0"/>
                <w:color w:val="1A1A2E"/>
                <w:sz w:val="16"/>
              </w:rPr>
              <w:t>7.1 MB APK, offline-capable architecture, Redis caching reduces API calls, free tier removes cost barrier for initial adoption. SMS/USSD fallback for basic features.</w:t>
            </w:r>
          </w:p>
        </w:tc>
      </w:tr>
      <w:tr>
        <w:tc>
          <w:tcPr>
            <w:tcW w:type="dxa" w:w="2268"/>
          </w:tcPr>
          <w:p>
            <w:r>
              <w:rPr>
                <w:rFonts w:ascii="Calibri" w:hAnsi="Calibri"/>
                <w:b/>
                <w:color w:val="1A1A2E"/>
                <w:sz w:val="16"/>
              </w:rPr>
              <w:t>Consumer trust in AI financial advice</w:t>
            </w:r>
          </w:p>
        </w:tc>
        <w:tc>
          <w:tcPr>
            <w:tcW w:type="dxa" w:w="1417"/>
          </w:tcPr>
          <w:p>
            <w:r>
              <w:rPr>
                <w:rFonts w:ascii="Calibri" w:hAnsi="Calibri"/>
                <w:b w:val="0"/>
                <w:color w:val="1A1A2E"/>
                <w:sz w:val="16"/>
              </w:rPr>
              <w:t>High</w:t>
            </w:r>
          </w:p>
        </w:tc>
        <w:tc>
          <w:tcPr>
            <w:tcW w:type="dxa" w:w="6520"/>
          </w:tcPr>
          <w:p>
            <w:r>
              <w:rPr>
                <w:rFonts w:ascii="Calibri" w:hAnsi="Calibri"/>
                <w:b w:val="0"/>
                <w:color w:val="1A1A2E"/>
                <w:sz w:val="16"/>
              </w:rPr>
              <w:t>RAG-grounded citations for every claim. Transparent disclaimer system. Multi-layer safety architecture. Banking AI trust deficit (Trustpilot scores of 2.0–2.8/5) creates opportunity for a trustworthy alternative.</w:t>
            </w:r>
          </w:p>
        </w:tc>
      </w:tr>
      <w:tr>
        <w:tc>
          <w:tcPr>
            <w:tcW w:type="dxa" w:w="2268"/>
          </w:tcPr>
          <w:p>
            <w:r>
              <w:rPr>
                <w:rFonts w:ascii="Calibri" w:hAnsi="Calibri"/>
                <w:b/>
                <w:color w:val="1A1A2E"/>
                <w:sz w:val="16"/>
              </w:rPr>
              <w:t>Competition from new African AI fintech entrants (e.g., Budge AI)</w:t>
            </w:r>
          </w:p>
        </w:tc>
        <w:tc>
          <w:tcPr>
            <w:tcW w:type="dxa" w:w="1417"/>
          </w:tcPr>
          <w:p>
            <w:r>
              <w:rPr>
                <w:rFonts w:ascii="Calibri" w:hAnsi="Calibri"/>
                <w:b w:val="0"/>
                <w:color w:val="1A1A2E"/>
                <w:sz w:val="16"/>
              </w:rPr>
              <w:t>Medium</w:t>
            </w:r>
          </w:p>
        </w:tc>
        <w:tc>
          <w:tcPr>
            <w:tcW w:type="dxa" w:w="6520"/>
          </w:tcPr>
          <w:p>
            <w:r>
              <w:rPr>
                <w:rFonts w:ascii="Calibri" w:hAnsi="Calibri"/>
                <w:b w:val="0"/>
                <w:color w:val="1A1A2E"/>
                <w:sz w:val="16"/>
              </w:rPr>
              <w:t>First-mover advantage with full stack already built. Entrants need 2–3 years to replicate 142 API routes, 33 DB models, 3 AI personas, 10 action tools, 20 courses, 13 languages, 3 platforms (web + mobile + API).</w:t>
            </w:r>
          </w:p>
        </w:tc>
      </w:tr>
      <w:tr>
        <w:tc>
          <w:tcPr>
            <w:tcW w:type="dxa" w:w="2268"/>
          </w:tcPr>
          <w:p>
            <w:r>
              <w:rPr>
                <w:rFonts w:ascii="Calibri" w:hAnsi="Calibri"/>
                <w:b/>
                <w:color w:val="1A1A2E"/>
                <w:sz w:val="16"/>
              </w:rPr>
              <w:t>Currency volatility and macroeconomic instability</w:t>
            </w:r>
          </w:p>
        </w:tc>
        <w:tc>
          <w:tcPr>
            <w:tcW w:type="dxa" w:w="1417"/>
          </w:tcPr>
          <w:p>
            <w:r>
              <w:rPr>
                <w:rFonts w:ascii="Calibri" w:hAnsi="Calibri"/>
                <w:b w:val="0"/>
                <w:color w:val="1A1A2E"/>
                <w:sz w:val="16"/>
              </w:rPr>
              <w:t>Medium</w:t>
            </w:r>
          </w:p>
        </w:tc>
        <w:tc>
          <w:tcPr>
            <w:tcW w:type="dxa" w:w="6520"/>
          </w:tcPr>
          <w:p>
            <w:r>
              <w:rPr>
                <w:rFonts w:ascii="Calibri" w:hAnsi="Calibri"/>
                <w:b w:val="0"/>
                <w:color w:val="1A1A2E"/>
                <w:sz w:val="16"/>
              </w:rPr>
              <w:t>Multi-currency architecture, local pricing in each market, AI cost optimization ensures sustainable unit economics even with FX volatility. Revenue diversification across multiple African markets.</w:t>
            </w:r>
          </w:p>
        </w:tc>
      </w:tr>
    </w:tbl>
    <w:p/>
    <w:p/>
    <w:p>
      <w:pPr>
        <w:spacing w:after="120"/>
      </w:pPr>
      <w:r>
        <w:rPr>
          <w:rFonts w:ascii="Calibri" w:hAnsi="Calibri"/>
          <w:b/>
          <w:i w:val="0"/>
          <w:sz w:val="20"/>
        </w:rPr>
        <w:t>This market analysis confirms that EcoFinwize occupies a structural gap in the African fintech ecosystem that no existing platform — African or global — currently addresses. The convergence of conversational AI, localized financial intelligence, adaptive personal finance, SME business tools, and multilingual support for 13 African languages creates a defensible competitive position that would require years and significant capital for any competitor to replicate.</w:t>
      </w:r>
    </w:p>
    <w:p>
      <w:pPr>
        <w:spacing w:after="120"/>
      </w:pPr>
      <w:r>
        <w:rPr>
          <w:rFonts w:ascii="Calibri" w:hAnsi="Calibri"/>
          <w:b/>
          <w:i w:val="0"/>
          <w:sz w:val="20"/>
        </w:rPr>
        <w:t>The African fintech market is entering its second wave — defined by AI-driven financial intelligence, open banking interoperability, embedded finance, and SME-focused infrastructure. EcoFinwize is uniquely positioned at the intersection of these trends. With a verified production codebase of 142 API routes, 33 database models, 3 AI personas, and 23 web + 19 mobile screens; a proven cost structure delivering AI conversations at under $0.05 each; and a strategic positioning that enables partnership rather than direct competition with incumbents, EcoFinwize has a credible path to capturing a meaningful share of Africa's $65 billion fintech market by 2030.</w:t>
      </w:r>
    </w:p>
    <w:p/>
    <w:p>
      <w:pPr>
        <w:jc w:val="center"/>
      </w:pPr>
      <w:r>
        <w:rPr>
          <w:rFonts w:ascii="Calibri" w:hAnsi="Calibri"/>
          <w:i/>
          <w:color w:val="888888"/>
          <w:sz w:val="20"/>
        </w:rPr>
        <w:t>— End of Document —</w:t>
      </w:r>
    </w:p>
    <w:p>
      <w:pPr>
        <w:jc w:val="center"/>
      </w:pPr>
      <w:r>
        <w:rPr>
          <w:rFonts w:ascii="Calibri" w:hAnsi="Calibri"/>
          <w:i/>
          <w:color w:val="888888"/>
          <w:sz w:val="16"/>
        </w:rPr>
        <w:t>Generated July 2026 | Research sources: BCG, Partech Africa, Disrupt Africa, Empower Africa, TechCabal, IMF, McKinsey, EFInA, Market Data Forecast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D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D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