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A365D"/>
          <w:sz w:val="48"/>
        </w:rPr>
        <w:t>THE FINWIZE STRATEGIC POSITIONING BRIEF</w:t>
      </w:r>
    </w:p>
    <w:p>
      <w:pPr>
        <w:spacing w:after="480"/>
        <w:jc w:val="center"/>
      </w:pPr>
      <w:r>
        <w:rPr>
          <w:rFonts w:ascii="Arial" w:hAnsi="Arial"/>
          <w:i/>
          <w:color w:val="4A5568"/>
          <w:sz w:val="24"/>
        </w:rPr>
        <w:t>Institutional Investor, Accelerator, and Fellowship Evaluation Asset</w:t>
      </w:r>
    </w:p>
    <w:tbl>
      <w:tblPr>
        <w:tblW w:type="auto" w:w="0"/>
        <w:jc w:val="center"/>
        <w:tblLook w:firstColumn="1" w:firstRow="1" w:lastColumn="0" w:lastRow="0" w:noHBand="0" w:noVBand="1" w:val="04A0"/>
      </w:tblPr>
      <w:tblGrid>
        <w:gridCol w:w="4680"/>
        <w:gridCol w:w="4680"/>
      </w:tblGrid>
      <w:tr>
        <w:tc>
          <w:tcPr>
            <w:tcW w:type="dxa" w:w="4680"/>
            <w:shd w:fill="F7FAFC"/>
            <w:tcMar>
              <w:top w:w="60" w:type="dxa"/>
              <w:bottom w:w="60" w:type="dxa"/>
              <w:left w:w="100" w:type="dxa"/>
              <w:right w:w="100" w:type="dxa"/>
            </w:tcMar>
          </w:tcPr>
          <w:p>
            <w:pPr>
              <w:spacing w:after="40"/>
            </w:pPr>
            <w:r/>
            <w:r>
              <w:rPr>
                <w:rFonts w:ascii="Arial" w:hAnsi="Arial"/>
                <w:b/>
                <w:color w:val="2D3748"/>
                <w:sz w:val="20"/>
              </w:rPr>
              <w:t>Status:</w:t>
            </w:r>
          </w:p>
        </w:tc>
        <w:tc>
          <w:tcPr>
            <w:tcW w:type="dxa" w:w="4680"/>
            <w:shd w:fill="F7FAFC"/>
            <w:tcMar>
              <w:top w:w="60" w:type="dxa"/>
              <w:bottom w:w="60" w:type="dxa"/>
              <w:left w:w="100" w:type="dxa"/>
              <w:right w:w="100" w:type="dxa"/>
            </w:tcMar>
          </w:tcPr>
          <w:p>
            <w:pPr>
              <w:spacing w:after="40"/>
            </w:pPr>
            <w:r/>
            <w:r>
              <w:rPr>
                <w:rFonts w:ascii="Arial" w:hAnsi="Arial"/>
                <w:color w:val="4A5568"/>
                <w:sz w:val="20"/>
              </w:rPr>
              <w:t>v1.0 Production-Ready (Aligned with Finwize Architecture Specifications)</w:t>
            </w:r>
          </w:p>
        </w:tc>
      </w:tr>
      <w:tr>
        <w:tc>
          <w:tcPr>
            <w:tcW w:type="dxa" w:w="4680"/>
            <w:shd w:fill="F7FAFC"/>
            <w:tcMar>
              <w:top w:w="60" w:type="dxa"/>
              <w:bottom w:w="60" w:type="dxa"/>
              <w:left w:w="100" w:type="dxa"/>
              <w:right w:w="100" w:type="dxa"/>
            </w:tcMar>
          </w:tcPr>
          <w:p>
            <w:pPr>
              <w:spacing w:after="40"/>
            </w:pPr>
            <w:r/>
            <w:r>
              <w:rPr>
                <w:rFonts w:ascii="Arial" w:hAnsi="Arial"/>
                <w:b/>
                <w:color w:val="2D3748"/>
                <w:sz w:val="20"/>
              </w:rPr>
              <w:t>Classification:</w:t>
            </w:r>
          </w:p>
        </w:tc>
        <w:tc>
          <w:tcPr>
            <w:tcW w:type="dxa" w:w="4680"/>
            <w:shd w:fill="F7FAFC"/>
            <w:tcMar>
              <w:top w:w="60" w:type="dxa"/>
              <w:bottom w:w="60" w:type="dxa"/>
              <w:left w:w="100" w:type="dxa"/>
              <w:right w:w="100" w:type="dxa"/>
            </w:tcMar>
          </w:tcPr>
          <w:p>
            <w:pPr>
              <w:spacing w:after="40"/>
            </w:pPr>
            <w:r/>
            <w:r>
              <w:rPr>
                <w:rFonts w:ascii="Arial" w:hAnsi="Arial"/>
                <w:color w:val="4A5568"/>
                <w:sz w:val="20"/>
              </w:rPr>
              <w:t>Confidential – Proprietary Strategic Framework</w:t>
            </w:r>
          </w:p>
        </w:tc>
      </w:tr>
      <w:tr>
        <w:tc>
          <w:tcPr>
            <w:tcW w:type="dxa" w:w="4680"/>
            <w:shd w:fill="F7FAFC"/>
            <w:tcMar>
              <w:top w:w="60" w:type="dxa"/>
              <w:bottom w:w="60" w:type="dxa"/>
              <w:left w:w="100" w:type="dxa"/>
              <w:right w:w="100" w:type="dxa"/>
            </w:tcMar>
          </w:tcPr>
          <w:p>
            <w:pPr>
              <w:spacing w:after="40"/>
            </w:pPr>
            <w:r/>
            <w:r>
              <w:rPr>
                <w:rFonts w:ascii="Arial" w:hAnsi="Arial"/>
                <w:b/>
                <w:color w:val="2D3748"/>
                <w:sz w:val="20"/>
              </w:rPr>
              <w:t>Target Context:</w:t>
            </w:r>
          </w:p>
        </w:tc>
        <w:tc>
          <w:tcPr>
            <w:tcW w:type="dxa" w:w="4680"/>
            <w:shd w:fill="F7FAFC"/>
            <w:tcMar>
              <w:top w:w="60" w:type="dxa"/>
              <w:bottom w:w="60" w:type="dxa"/>
              <w:left w:w="100" w:type="dxa"/>
              <w:right w:w="100" w:type="dxa"/>
            </w:tcMar>
          </w:tcPr>
          <w:p>
            <w:pPr>
              <w:spacing w:after="40"/>
            </w:pPr>
            <w:r/>
            <w:r>
              <w:rPr>
                <w:rFonts w:ascii="Arial" w:hAnsi="Arial"/>
                <w:color w:val="4A5568"/>
                <w:sz w:val="20"/>
              </w:rPr>
              <w:t>The AI &amp; Fintech NextGen Leaders Fellowship 2026 Evaluation Board</w:t>
            </w:r>
          </w:p>
        </w:tc>
      </w:tr>
    </w:tbl>
    <w:p>
      <w:pPr>
        <w:spacing w:after="240"/>
      </w:pPr>
    </w:p>
    <w:p>
      <w:pPr>
        <w:keepNext/>
        <w:spacing w:before="240" w:after="120"/>
      </w:pPr>
      <w:r>
        <w:rPr>
          <w:rFonts w:ascii="Arial" w:hAnsi="Arial"/>
          <w:b/>
          <w:color w:val="1A365D"/>
          <w:sz w:val="28"/>
        </w:rPr>
        <w:t>STRATEGIC FRAMING METHODOLOGY</w:t>
      </w:r>
    </w:p>
    <w:p>
      <w:pPr>
        <w:spacing w:after="200"/>
      </w:pPr>
      <w:r>
        <w:rPr>
          <w:rFonts w:ascii="Arial" w:hAnsi="Arial"/>
          <w:sz w:val="22"/>
        </w:rPr>
        <w:t xml:space="preserve">When presenting to institutional reviewers, fellowship boards (such as The AI &amp; Fintech NextGen Leaders Fellowship 2026), or venture accelerators, framing market dynamics through adversarial language (e.g., 'how Finwize beats or kills the competition') can signal a lack of mature corporate governance and objective market awareness. </w:t>
      </w:r>
    </w:p>
    <w:p>
      <w:pPr>
        <w:spacing w:after="240"/>
      </w:pPr>
      <w:r>
        <w:rPr>
          <w:rFonts w:ascii="Arial" w:hAnsi="Arial"/>
          <w:sz w:val="22"/>
        </w:rPr>
        <w:t>To maximize institutional alignment, this document explicitly reframes the competitive landscape around 'Finwize's Sustainable Competitive Advantage' and 'Strategic Differentiation.' This objective, high-standard posture demonstrates rigorous market analysis, clear technical and economic awareness, and establishes why Finwize is uniquely positioned to capture and defend its target market while operating as an ecosystem enabler rather than an isolated disruptor.</w:t>
      </w:r>
    </w:p>
    <w:p>
      <w:pPr>
        <w:keepNext/>
        <w:spacing w:before="240" w:after="120"/>
      </w:pPr>
      <w:r>
        <w:rPr>
          <w:rFonts w:ascii="Arial" w:hAnsi="Arial"/>
          <w:b/>
          <w:color w:val="1A365D"/>
          <w:sz w:val="40"/>
        </w:rPr>
        <w:t>STRATEGIC COMPETITIVE LANDSCAPE &amp; FINWIZE'S DIFFERENTIATED ADVANTAGE</w:t>
      </w:r>
    </w:p>
    <w:p>
      <w:pPr>
        <w:spacing w:after="200"/>
      </w:pPr>
      <w:r>
        <w:rPr>
          <w:rFonts w:ascii="Arial" w:hAnsi="Arial"/>
          <w:sz w:val="22"/>
        </w:rPr>
        <w:t>The African fintech ecosystem has evolved significantly over the past decade. The market has progressed beyond digital payments into wealth management, digital banking, embedded finance, SME software, financial education, and AI-powered financial services. While many platforms excel within their individual categories, few provide an integrated, AI-native financial intelligence platform tailored to the realities of African consumers and small businesses.</w:t>
        <w:br/>
        <w:br/>
        <w:t>Rather than competing directly with a single organization, Finwize operates across multiple adjacent markets. Its competitive environment spans wealth management, digital banking, bookkeeping software, conversational banking, financial education, and emerging AI financial copilots.</w:t>
        <w:br/>
        <w:br/>
        <w:t>The strategic objective is therefore not to replace existing financial platforms, but to become the intelligent decision-making layer that complements and enhances them.</w:t>
      </w:r>
    </w:p>
    <w:p>
      <w:pPr>
        <w:keepNext/>
        <w:spacing w:before="240" w:after="120"/>
      </w:pPr>
      <w:r>
        <w:rPr>
          <w:rFonts w:ascii="Arial" w:hAnsi="Arial"/>
          <w:b/>
          <w:color w:val="1A365D"/>
          <w:sz w:val="28"/>
        </w:rPr>
        <w:t>The Comprehensive Multi-Market Competitive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365D"/>
            <w:tcMar>
              <w:top w:w="100" w:type="dxa"/>
              <w:bottom w:w="100" w:type="dxa"/>
              <w:left w:w="100" w:type="dxa"/>
              <w:right w:w="100" w:type="dxa"/>
            </w:tcMar>
          </w:tcPr>
          <w:p>
            <w:pPr>
              <w:spacing w:before="80" w:after="80"/>
            </w:pPr>
            <w:r/>
            <w:r>
              <w:rPr>
                <w:rFonts w:ascii="Arial" w:hAnsi="Arial"/>
                <w:b/>
                <w:color w:val="FFFFFF"/>
                <w:sz w:val="19"/>
              </w:rPr>
              <w:t>Market Category</w:t>
            </w:r>
          </w:p>
        </w:tc>
        <w:tc>
          <w:tcPr>
            <w:tcW w:type="dxa" w:w="1872"/>
            <w:shd w:fill="1A365D"/>
            <w:tcMar>
              <w:top w:w="100" w:type="dxa"/>
              <w:bottom w:w="100" w:type="dxa"/>
              <w:left w:w="100" w:type="dxa"/>
              <w:right w:w="100" w:type="dxa"/>
            </w:tcMar>
          </w:tcPr>
          <w:p>
            <w:pPr>
              <w:spacing w:before="80" w:after="80"/>
            </w:pPr>
            <w:r/>
            <w:r>
              <w:rPr>
                <w:rFonts w:ascii="Arial" w:hAnsi="Arial"/>
                <w:b/>
                <w:color w:val="FFFFFF"/>
                <w:sz w:val="19"/>
              </w:rPr>
              <w:t>Major Competitors</w:t>
            </w:r>
          </w:p>
        </w:tc>
        <w:tc>
          <w:tcPr>
            <w:tcW w:type="dxa" w:w="1872"/>
            <w:shd w:fill="1A365D"/>
            <w:tcMar>
              <w:top w:w="100" w:type="dxa"/>
              <w:bottom w:w="100" w:type="dxa"/>
              <w:left w:w="100" w:type="dxa"/>
              <w:right w:w="100" w:type="dxa"/>
            </w:tcMar>
          </w:tcPr>
          <w:p>
            <w:pPr>
              <w:spacing w:before="80" w:after="80"/>
            </w:pPr>
            <w:r/>
            <w:r>
              <w:rPr>
                <w:rFonts w:ascii="Arial" w:hAnsi="Arial"/>
                <w:b/>
                <w:color w:val="FFFFFF"/>
                <w:sz w:val="19"/>
              </w:rPr>
              <w:t>Core Strength</w:t>
            </w:r>
          </w:p>
        </w:tc>
        <w:tc>
          <w:tcPr>
            <w:tcW w:type="dxa" w:w="1872"/>
            <w:shd w:fill="1A365D"/>
            <w:tcMar>
              <w:top w:w="100" w:type="dxa"/>
              <w:bottom w:w="100" w:type="dxa"/>
              <w:left w:w="100" w:type="dxa"/>
              <w:right w:w="100" w:type="dxa"/>
            </w:tcMar>
          </w:tcPr>
          <w:p>
            <w:pPr>
              <w:spacing w:before="80" w:after="80"/>
            </w:pPr>
            <w:r/>
            <w:r>
              <w:rPr>
                <w:rFonts w:ascii="Arial" w:hAnsi="Arial"/>
                <w:b/>
                <w:color w:val="FFFFFF"/>
                <w:sz w:val="19"/>
              </w:rPr>
              <w:t>Opportunity for Finwize</w:t>
            </w:r>
          </w:p>
        </w:tc>
        <w:tc>
          <w:tcPr>
            <w:tcW w:type="dxa" w:w="1872"/>
            <w:shd w:fill="1A365D"/>
            <w:tcMar>
              <w:top w:w="100" w:type="dxa"/>
              <w:bottom w:w="100" w:type="dxa"/>
              <w:left w:w="100" w:type="dxa"/>
              <w:right w:w="100" w:type="dxa"/>
            </w:tcMar>
          </w:tcPr>
          <w:p>
            <w:pPr>
              <w:spacing w:before="80" w:after="80"/>
            </w:pPr>
            <w:r/>
            <w:r>
              <w:rPr>
                <w:rFonts w:ascii="Arial" w:hAnsi="Arial"/>
                <w:b/>
                <w:color w:val="FFFFFF"/>
                <w:sz w:val="19"/>
              </w:rPr>
              <w:t>Finwize v1.0 Technical Moat Alignment</w:t>
            </w:r>
          </w:p>
        </w:tc>
      </w:tr>
      <w:tr>
        <w:tc>
          <w:tcPr>
            <w:tcW w:type="dxa" w:w="1872"/>
            <w:shd w:fill="FFFFFF"/>
            <w:tcMar>
              <w:top w:w="80" w:type="dxa"/>
              <w:bottom w:w="80" w:type="dxa"/>
              <w:left w:w="100" w:type="dxa"/>
              <w:right w:w="100" w:type="dxa"/>
            </w:tcMar>
          </w:tcPr>
          <w:p>
            <w:pPr>
              <w:spacing w:before="60" w:after="60"/>
            </w:pPr>
            <w:r/>
            <w:r>
              <w:rPr>
                <w:rFonts w:ascii="Arial" w:hAnsi="Arial"/>
                <w:color w:val="2D3748"/>
                <w:sz w:val="18"/>
              </w:rPr>
              <w:t>Savings &amp; Wealth</w:t>
            </w:r>
          </w:p>
        </w:tc>
        <w:tc>
          <w:tcPr>
            <w:tcW w:type="dxa" w:w="1872"/>
            <w:shd w:fill="FFFFFF"/>
            <w:tcMar>
              <w:top w:w="80" w:type="dxa"/>
              <w:bottom w:w="80" w:type="dxa"/>
              <w:left w:w="100" w:type="dxa"/>
              <w:right w:w="100" w:type="dxa"/>
            </w:tcMar>
          </w:tcPr>
          <w:p>
            <w:pPr>
              <w:spacing w:before="60" w:after="60"/>
            </w:pPr>
            <w:r/>
            <w:r>
              <w:rPr>
                <w:rFonts w:ascii="Arial" w:hAnsi="Arial"/>
                <w:color w:val="2D3748"/>
                <w:sz w:val="18"/>
              </w:rPr>
              <w:t>PiggyVest, Cowrywise, Risevest, Bamboo, Trove</w:t>
            </w:r>
          </w:p>
        </w:tc>
        <w:tc>
          <w:tcPr>
            <w:tcW w:type="dxa" w:w="1872"/>
            <w:shd w:fill="FFFFFF"/>
            <w:tcMar>
              <w:top w:w="80" w:type="dxa"/>
              <w:bottom w:w="80" w:type="dxa"/>
              <w:left w:w="100" w:type="dxa"/>
              <w:right w:w="100" w:type="dxa"/>
            </w:tcMar>
          </w:tcPr>
          <w:p>
            <w:pPr>
              <w:spacing w:before="60" w:after="60"/>
            </w:pPr>
            <w:r/>
            <w:r>
              <w:rPr>
                <w:rFonts w:ascii="Arial" w:hAnsi="Arial"/>
                <w:color w:val="2D3748"/>
                <w:sz w:val="18"/>
              </w:rPr>
              <w:t>Investments, automated savings, regulated wealth products</w:t>
            </w:r>
          </w:p>
        </w:tc>
        <w:tc>
          <w:tcPr>
            <w:tcW w:type="dxa" w:w="1872"/>
            <w:shd w:fill="FFFFFF"/>
            <w:tcMar>
              <w:top w:w="80" w:type="dxa"/>
              <w:bottom w:w="80" w:type="dxa"/>
              <w:left w:w="100" w:type="dxa"/>
              <w:right w:w="100" w:type="dxa"/>
            </w:tcMar>
          </w:tcPr>
          <w:p>
            <w:pPr>
              <w:spacing w:before="60" w:after="60"/>
            </w:pPr>
            <w:r/>
            <w:r>
              <w:rPr>
                <w:rFonts w:ascii="Arial" w:hAnsi="Arial"/>
                <w:color w:val="2D3748"/>
                <w:sz w:val="18"/>
              </w:rPr>
              <w:t>AI coaching before investment decisions, adaptive budgeting for irregular income, financial literacy</w:t>
            </w:r>
          </w:p>
        </w:tc>
        <w:tc>
          <w:tcPr>
            <w:tcW w:type="dxa" w:w="1872"/>
            <w:shd w:fill="FFFFFF"/>
            <w:tcMar>
              <w:top w:w="80" w:type="dxa"/>
              <w:bottom w:w="80" w:type="dxa"/>
              <w:left w:w="100" w:type="dxa"/>
              <w:right w:w="100" w:type="dxa"/>
            </w:tcMar>
          </w:tcPr>
          <w:p>
            <w:pPr>
              <w:spacing w:before="60" w:after="60"/>
            </w:pPr>
            <w:r/>
            <w:r>
              <w:rPr>
                <w:rFonts w:ascii="Arial" w:hAnsi="Arial"/>
                <w:color w:val="2D3748"/>
                <w:sz w:val="18"/>
              </w:rPr>
              <w:t>Percentage-Based Adaptive Budgeting Algorithm: Built-in dynamic income-tracking with monthly rollover functionality.</w:t>
            </w:r>
          </w:p>
        </w:tc>
      </w:tr>
      <w:tr>
        <w:tc>
          <w:tcPr>
            <w:tcW w:type="dxa" w:w="1872"/>
            <w:shd w:fill="F7FAFC"/>
            <w:tcMar>
              <w:top w:w="80" w:type="dxa"/>
              <w:bottom w:w="80" w:type="dxa"/>
              <w:left w:w="100" w:type="dxa"/>
              <w:right w:w="100" w:type="dxa"/>
            </w:tcMar>
          </w:tcPr>
          <w:p>
            <w:pPr>
              <w:spacing w:before="60" w:after="60"/>
            </w:pPr>
            <w:r/>
            <w:r>
              <w:rPr>
                <w:rFonts w:ascii="Arial" w:hAnsi="Arial"/>
                <w:color w:val="2D3748"/>
                <w:sz w:val="18"/>
              </w:rPr>
              <w:t>Digital Banking &amp; Super Apps</w:t>
            </w:r>
          </w:p>
        </w:tc>
        <w:tc>
          <w:tcPr>
            <w:tcW w:type="dxa" w:w="1872"/>
            <w:shd w:fill="F7FAFC"/>
            <w:tcMar>
              <w:top w:w="80" w:type="dxa"/>
              <w:bottom w:w="80" w:type="dxa"/>
              <w:left w:w="100" w:type="dxa"/>
              <w:right w:w="100" w:type="dxa"/>
            </w:tcMar>
          </w:tcPr>
          <w:p>
            <w:pPr>
              <w:spacing w:before="60" w:after="60"/>
            </w:pPr>
            <w:r/>
            <w:r>
              <w:rPr>
                <w:rFonts w:ascii="Arial" w:hAnsi="Arial"/>
                <w:color w:val="2D3748"/>
                <w:sz w:val="18"/>
              </w:rPr>
              <w:t>OPay, PalmPay, Kuda, Carbon, Moniepoint</w:t>
            </w:r>
          </w:p>
        </w:tc>
        <w:tc>
          <w:tcPr>
            <w:tcW w:type="dxa" w:w="1872"/>
            <w:shd w:fill="F7FAFC"/>
            <w:tcMar>
              <w:top w:w="80" w:type="dxa"/>
              <w:bottom w:w="80" w:type="dxa"/>
              <w:left w:w="100" w:type="dxa"/>
              <w:right w:w="100" w:type="dxa"/>
            </w:tcMar>
          </w:tcPr>
          <w:p>
            <w:pPr>
              <w:spacing w:before="60" w:after="60"/>
            </w:pPr>
            <w:r/>
            <w:r>
              <w:rPr>
                <w:rFonts w:ascii="Arial" w:hAnsi="Arial"/>
                <w:color w:val="2D3748"/>
                <w:sz w:val="18"/>
              </w:rPr>
              <w:t>Payments, transfers, cards, lending, merchant services</w:t>
            </w:r>
          </w:p>
        </w:tc>
        <w:tc>
          <w:tcPr>
            <w:tcW w:type="dxa" w:w="1872"/>
            <w:shd w:fill="F7FAFC"/>
            <w:tcMar>
              <w:top w:w="80" w:type="dxa"/>
              <w:bottom w:w="80" w:type="dxa"/>
              <w:left w:w="100" w:type="dxa"/>
              <w:right w:w="100" w:type="dxa"/>
            </w:tcMar>
          </w:tcPr>
          <w:p>
            <w:pPr>
              <w:spacing w:before="60" w:after="60"/>
            </w:pPr>
            <w:r/>
            <w:r>
              <w:rPr>
                <w:rFonts w:ascii="Arial" w:hAnsi="Arial"/>
                <w:color w:val="2D3748"/>
                <w:sz w:val="18"/>
              </w:rPr>
              <w:t>Personalized financial guidance beyond transactions</w:t>
            </w:r>
          </w:p>
        </w:tc>
        <w:tc>
          <w:tcPr>
            <w:tcW w:type="dxa" w:w="1872"/>
            <w:shd w:fill="F7FAFC"/>
            <w:tcMar>
              <w:top w:w="80" w:type="dxa"/>
              <w:bottom w:w="80" w:type="dxa"/>
              <w:left w:w="100" w:type="dxa"/>
              <w:right w:w="100" w:type="dxa"/>
            </w:tcMar>
          </w:tcPr>
          <w:p>
            <w:pPr>
              <w:spacing w:before="60" w:after="60"/>
            </w:pPr>
            <w:r/>
            <w:r>
              <w:rPr>
                <w:rFonts w:ascii="Arial" w:hAnsi="Arial"/>
                <w:color w:val="2D3748"/>
                <w:sz w:val="18"/>
              </w:rPr>
              <w:t>Platform-Agnostic Intelligence Layer: Complements existing bank accounts via future open banking and simulation APIs.</w:t>
            </w:r>
          </w:p>
        </w:tc>
      </w:tr>
      <w:tr>
        <w:tc>
          <w:tcPr>
            <w:tcW w:type="dxa" w:w="1872"/>
            <w:shd w:fill="FFFFFF"/>
            <w:tcMar>
              <w:top w:w="80" w:type="dxa"/>
              <w:bottom w:w="80" w:type="dxa"/>
              <w:left w:w="100" w:type="dxa"/>
              <w:right w:w="100" w:type="dxa"/>
            </w:tcMar>
          </w:tcPr>
          <w:p>
            <w:pPr>
              <w:spacing w:before="60" w:after="60"/>
            </w:pPr>
            <w:r/>
            <w:r>
              <w:rPr>
                <w:rFonts w:ascii="Arial" w:hAnsi="Arial"/>
                <w:color w:val="2D3748"/>
                <w:sz w:val="18"/>
              </w:rPr>
              <w:t>SME Business Software</w:t>
            </w:r>
          </w:p>
        </w:tc>
        <w:tc>
          <w:tcPr>
            <w:tcW w:type="dxa" w:w="1872"/>
            <w:shd w:fill="FFFFFF"/>
            <w:tcMar>
              <w:top w:w="80" w:type="dxa"/>
              <w:bottom w:w="80" w:type="dxa"/>
              <w:left w:w="100" w:type="dxa"/>
              <w:right w:w="100" w:type="dxa"/>
            </w:tcMar>
          </w:tcPr>
          <w:p>
            <w:pPr>
              <w:spacing w:before="60" w:after="60"/>
            </w:pPr>
            <w:r/>
            <w:r>
              <w:rPr>
                <w:rFonts w:ascii="Arial" w:hAnsi="Arial"/>
                <w:color w:val="2D3748"/>
                <w:sz w:val="18"/>
              </w:rPr>
              <w:t>Bumpa, Oze, Dukka, PaidHR, Zoho Books, QuickBooks</w:t>
            </w:r>
          </w:p>
        </w:tc>
        <w:tc>
          <w:tcPr>
            <w:tcW w:type="dxa" w:w="1872"/>
            <w:shd w:fill="FFFFFF"/>
            <w:tcMar>
              <w:top w:w="80" w:type="dxa"/>
              <w:bottom w:w="80" w:type="dxa"/>
              <w:left w:w="100" w:type="dxa"/>
              <w:right w:w="100" w:type="dxa"/>
            </w:tcMar>
          </w:tcPr>
          <w:p>
            <w:pPr>
              <w:spacing w:before="60" w:after="60"/>
            </w:pPr>
            <w:r/>
            <w:r>
              <w:rPr>
                <w:rFonts w:ascii="Arial" w:hAnsi="Arial"/>
                <w:color w:val="2D3748"/>
                <w:sz w:val="18"/>
              </w:rPr>
              <w:t>Inventory, bookkeeping, invoicing, accounting</w:t>
            </w:r>
          </w:p>
        </w:tc>
        <w:tc>
          <w:tcPr>
            <w:tcW w:type="dxa" w:w="1872"/>
            <w:shd w:fill="FFFFFF"/>
            <w:tcMar>
              <w:top w:w="80" w:type="dxa"/>
              <w:bottom w:w="80" w:type="dxa"/>
              <w:left w:w="100" w:type="dxa"/>
              <w:right w:w="100" w:type="dxa"/>
            </w:tcMar>
          </w:tcPr>
          <w:p>
            <w:pPr>
              <w:spacing w:before="60" w:after="60"/>
            </w:pPr>
            <w:r/>
            <w:r>
              <w:rPr>
                <w:rFonts w:ascii="Arial" w:hAnsi="Arial"/>
                <w:color w:val="2D3748"/>
                <w:sz w:val="18"/>
              </w:rPr>
              <w:t>Conversational business management with AI automation</w:t>
            </w:r>
          </w:p>
        </w:tc>
        <w:tc>
          <w:tcPr>
            <w:tcW w:type="dxa" w:w="1872"/>
            <w:shd w:fill="FFFFFF"/>
            <w:tcMar>
              <w:top w:w="80" w:type="dxa"/>
              <w:bottom w:w="80" w:type="dxa"/>
              <w:left w:w="100" w:type="dxa"/>
              <w:right w:w="100" w:type="dxa"/>
            </w:tcMar>
          </w:tcPr>
          <w:p>
            <w:pPr>
              <w:spacing w:before="60" w:after="60"/>
            </w:pPr>
            <w:r/>
            <w:r>
              <w:rPr>
                <w:rFonts w:ascii="Arial" w:hAnsi="Arial"/>
                <w:color w:val="2D3748"/>
                <w:sz w:val="18"/>
              </w:rPr>
              <w:t>Conversational UI/UX Workflows: Chat converts raw dialogue into structured invoices, tasks, and business records.</w:t>
            </w:r>
          </w:p>
        </w:tc>
      </w:tr>
      <w:tr>
        <w:tc>
          <w:tcPr>
            <w:tcW w:type="dxa" w:w="1872"/>
            <w:shd w:fill="F7FAFC"/>
            <w:tcMar>
              <w:top w:w="80" w:type="dxa"/>
              <w:bottom w:w="80" w:type="dxa"/>
              <w:left w:w="100" w:type="dxa"/>
              <w:right w:w="100" w:type="dxa"/>
            </w:tcMar>
          </w:tcPr>
          <w:p>
            <w:pPr>
              <w:spacing w:before="60" w:after="60"/>
            </w:pPr>
            <w:r/>
            <w:r>
              <w:rPr>
                <w:rFonts w:ascii="Arial" w:hAnsi="Arial"/>
                <w:color w:val="2D3748"/>
                <w:sz w:val="18"/>
              </w:rPr>
              <w:t>Payment Infrastructure</w:t>
            </w:r>
          </w:p>
        </w:tc>
        <w:tc>
          <w:tcPr>
            <w:tcW w:type="dxa" w:w="1872"/>
            <w:shd w:fill="F7FAFC"/>
            <w:tcMar>
              <w:top w:w="80" w:type="dxa"/>
              <w:bottom w:w="80" w:type="dxa"/>
              <w:left w:w="100" w:type="dxa"/>
              <w:right w:w="100" w:type="dxa"/>
            </w:tcMar>
          </w:tcPr>
          <w:p>
            <w:pPr>
              <w:spacing w:before="60" w:after="60"/>
            </w:pPr>
            <w:r/>
            <w:r>
              <w:rPr>
                <w:rFonts w:ascii="Arial" w:hAnsi="Arial"/>
                <w:color w:val="2D3748"/>
                <w:sz w:val="18"/>
              </w:rPr>
              <w:t>Paystack, Flutterwave, Interswitch</w:t>
            </w:r>
          </w:p>
        </w:tc>
        <w:tc>
          <w:tcPr>
            <w:tcW w:type="dxa" w:w="1872"/>
            <w:shd w:fill="F7FAFC"/>
            <w:tcMar>
              <w:top w:w="80" w:type="dxa"/>
              <w:bottom w:w="80" w:type="dxa"/>
              <w:left w:w="100" w:type="dxa"/>
              <w:right w:w="100" w:type="dxa"/>
            </w:tcMar>
          </w:tcPr>
          <w:p>
            <w:pPr>
              <w:spacing w:before="60" w:after="60"/>
            </w:pPr>
            <w:r/>
            <w:r>
              <w:rPr>
                <w:rFonts w:ascii="Arial" w:hAnsi="Arial"/>
                <w:color w:val="2D3748"/>
                <w:sz w:val="18"/>
              </w:rPr>
              <w:t>Payment processing APIs</w:t>
            </w:r>
          </w:p>
        </w:tc>
        <w:tc>
          <w:tcPr>
            <w:tcW w:type="dxa" w:w="1872"/>
            <w:shd w:fill="F7FAFC"/>
            <w:tcMar>
              <w:top w:w="80" w:type="dxa"/>
              <w:bottom w:w="80" w:type="dxa"/>
              <w:left w:w="100" w:type="dxa"/>
              <w:right w:w="100" w:type="dxa"/>
            </w:tcMar>
          </w:tcPr>
          <w:p>
            <w:pPr>
              <w:spacing w:before="60" w:after="60"/>
            </w:pPr>
            <w:r/>
            <w:r>
              <w:rPr>
                <w:rFonts w:ascii="Arial" w:hAnsi="Arial"/>
                <w:color w:val="2D3748"/>
                <w:sz w:val="18"/>
              </w:rPr>
              <w:t>Potential ecosystem partners rather than direct competitors</w:t>
            </w:r>
          </w:p>
        </w:tc>
        <w:tc>
          <w:tcPr>
            <w:tcW w:type="dxa" w:w="1872"/>
            <w:shd w:fill="F7FAFC"/>
            <w:tcMar>
              <w:top w:w="80" w:type="dxa"/>
              <w:bottom w:w="80" w:type="dxa"/>
              <w:left w:w="100" w:type="dxa"/>
              <w:right w:w="100" w:type="dxa"/>
            </w:tcMar>
          </w:tcPr>
          <w:p>
            <w:pPr>
              <w:spacing w:before="60" w:after="60"/>
            </w:pPr>
            <w:r/>
            <w:r>
              <w:rPr>
                <w:rFonts w:ascii="Arial" w:hAnsi="Arial"/>
                <w:color w:val="2D3748"/>
                <w:sz w:val="18"/>
              </w:rPr>
              <w:t>Downstream Integration Services: Implemented payment service hookups (services/payment_service.py) for automated monetization.</w:t>
            </w:r>
          </w:p>
        </w:tc>
      </w:tr>
      <w:tr>
        <w:tc>
          <w:tcPr>
            <w:tcW w:type="dxa" w:w="1872"/>
            <w:shd w:fill="FFFFFF"/>
            <w:tcMar>
              <w:top w:w="80" w:type="dxa"/>
              <w:bottom w:w="80" w:type="dxa"/>
              <w:left w:w="100" w:type="dxa"/>
              <w:right w:w="100" w:type="dxa"/>
            </w:tcMar>
          </w:tcPr>
          <w:p>
            <w:pPr>
              <w:spacing w:before="60" w:after="60"/>
            </w:pPr>
            <w:r/>
            <w:r>
              <w:rPr>
                <w:rFonts w:ascii="Arial" w:hAnsi="Arial"/>
                <w:color w:val="2D3748"/>
                <w:sz w:val="18"/>
              </w:rPr>
              <w:t>Banking AI</w:t>
            </w:r>
          </w:p>
        </w:tc>
        <w:tc>
          <w:tcPr>
            <w:tcW w:type="dxa" w:w="1872"/>
            <w:shd w:fill="FFFFFF"/>
            <w:tcMar>
              <w:top w:w="80" w:type="dxa"/>
              <w:bottom w:w="80" w:type="dxa"/>
              <w:left w:w="100" w:type="dxa"/>
              <w:right w:w="100" w:type="dxa"/>
            </w:tcMar>
          </w:tcPr>
          <w:p>
            <w:pPr>
              <w:spacing w:before="60" w:after="60"/>
            </w:pPr>
            <w:r/>
            <w:r>
              <w:rPr>
                <w:rFonts w:ascii="Arial" w:hAnsi="Arial"/>
                <w:color w:val="2D3748"/>
                <w:sz w:val="18"/>
              </w:rPr>
              <w:t>UBA Leo, Access Bank AI, ALAT Assistant</w:t>
            </w:r>
          </w:p>
        </w:tc>
        <w:tc>
          <w:tcPr>
            <w:tcW w:type="dxa" w:w="1872"/>
            <w:shd w:fill="FFFFFF"/>
            <w:tcMar>
              <w:top w:w="80" w:type="dxa"/>
              <w:bottom w:w="80" w:type="dxa"/>
              <w:left w:w="100" w:type="dxa"/>
              <w:right w:w="100" w:type="dxa"/>
            </w:tcMar>
          </w:tcPr>
          <w:p>
            <w:pPr>
              <w:spacing w:before="60" w:after="60"/>
            </w:pPr>
            <w:r/>
            <w:r>
              <w:rPr>
                <w:rFonts w:ascii="Arial" w:hAnsi="Arial"/>
                <w:color w:val="2D3748"/>
                <w:sz w:val="18"/>
              </w:rPr>
              <w:t>Customer support, banking operations</w:t>
            </w:r>
          </w:p>
        </w:tc>
        <w:tc>
          <w:tcPr>
            <w:tcW w:type="dxa" w:w="1872"/>
            <w:shd w:fill="FFFFFF"/>
            <w:tcMar>
              <w:top w:w="80" w:type="dxa"/>
              <w:bottom w:w="80" w:type="dxa"/>
              <w:left w:w="100" w:type="dxa"/>
              <w:right w:w="100" w:type="dxa"/>
            </w:tcMar>
          </w:tcPr>
          <w:p>
            <w:pPr>
              <w:spacing w:before="60" w:after="60"/>
            </w:pPr>
            <w:r/>
            <w:r>
              <w:rPr>
                <w:rFonts w:ascii="Arial" w:hAnsi="Arial"/>
                <w:color w:val="2D3748"/>
                <w:sz w:val="18"/>
              </w:rPr>
              <w:t>Context-aware financial advisory powered by RAG</w:t>
            </w:r>
          </w:p>
        </w:tc>
        <w:tc>
          <w:tcPr>
            <w:tcW w:type="dxa" w:w="1872"/>
            <w:shd w:fill="FFFFFF"/>
            <w:tcMar>
              <w:top w:w="80" w:type="dxa"/>
              <w:bottom w:w="80" w:type="dxa"/>
              <w:left w:w="100" w:type="dxa"/>
              <w:right w:w="100" w:type="dxa"/>
            </w:tcMar>
          </w:tcPr>
          <w:p>
            <w:pPr>
              <w:spacing w:before="60" w:after="60"/>
            </w:pPr>
            <w:r/>
            <w:r>
              <w:rPr>
                <w:rFonts w:ascii="Arial" w:hAnsi="Arial"/>
                <w:color w:val="2D3748"/>
                <w:sz w:val="18"/>
              </w:rPr>
              <w:t>Dual-Persona RAG Engine: Divided into Kemi (Personal Advisor) and Chidi (Business Mentor) grounded in Pinecone vector DB.</w:t>
            </w:r>
          </w:p>
        </w:tc>
      </w:tr>
      <w:tr>
        <w:tc>
          <w:tcPr>
            <w:tcW w:type="dxa" w:w="1872"/>
            <w:shd w:fill="F7FAFC"/>
            <w:tcMar>
              <w:top w:w="80" w:type="dxa"/>
              <w:bottom w:w="80" w:type="dxa"/>
              <w:left w:w="100" w:type="dxa"/>
              <w:right w:w="100" w:type="dxa"/>
            </w:tcMar>
          </w:tcPr>
          <w:p>
            <w:pPr>
              <w:spacing w:before="60" w:after="60"/>
            </w:pPr>
            <w:r/>
            <w:r>
              <w:rPr>
                <w:rFonts w:ascii="Arial" w:hAnsi="Arial"/>
                <w:color w:val="2D3748"/>
                <w:sz w:val="18"/>
              </w:rPr>
              <w:t>Financial Education</w:t>
            </w:r>
          </w:p>
        </w:tc>
        <w:tc>
          <w:tcPr>
            <w:tcW w:type="dxa" w:w="1872"/>
            <w:shd w:fill="F7FAFC"/>
            <w:tcMar>
              <w:top w:w="80" w:type="dxa"/>
              <w:bottom w:w="80" w:type="dxa"/>
              <w:left w:w="100" w:type="dxa"/>
              <w:right w:w="100" w:type="dxa"/>
            </w:tcMar>
          </w:tcPr>
          <w:p>
            <w:pPr>
              <w:spacing w:before="60" w:after="60"/>
            </w:pPr>
            <w:r/>
            <w:r>
              <w:rPr>
                <w:rFonts w:ascii="Arial" w:hAnsi="Arial"/>
                <w:color w:val="2D3748"/>
                <w:sz w:val="18"/>
              </w:rPr>
              <w:t>Money Africa, Clever Girl Finance, Nairametrics Learning</w:t>
            </w:r>
          </w:p>
        </w:tc>
        <w:tc>
          <w:tcPr>
            <w:tcW w:type="dxa" w:w="1872"/>
            <w:shd w:fill="F7FAFC"/>
            <w:tcMar>
              <w:top w:w="80" w:type="dxa"/>
              <w:bottom w:w="80" w:type="dxa"/>
              <w:left w:w="100" w:type="dxa"/>
              <w:right w:w="100" w:type="dxa"/>
            </w:tcMar>
          </w:tcPr>
          <w:p>
            <w:pPr>
              <w:spacing w:before="60" w:after="60"/>
            </w:pPr>
            <w:r/>
            <w:r>
              <w:rPr>
                <w:rFonts w:ascii="Arial" w:hAnsi="Arial"/>
                <w:color w:val="2D3748"/>
                <w:sz w:val="18"/>
              </w:rPr>
              <w:t>Educational content</w:t>
            </w:r>
          </w:p>
        </w:tc>
        <w:tc>
          <w:tcPr>
            <w:tcW w:type="dxa" w:w="1872"/>
            <w:shd w:fill="F7FAFC"/>
            <w:tcMar>
              <w:top w:w="80" w:type="dxa"/>
              <w:bottom w:w="80" w:type="dxa"/>
              <w:left w:w="100" w:type="dxa"/>
              <w:right w:w="100" w:type="dxa"/>
            </w:tcMar>
          </w:tcPr>
          <w:p>
            <w:pPr>
              <w:spacing w:before="60" w:after="60"/>
            </w:pPr>
            <w:r/>
            <w:r>
              <w:rPr>
                <w:rFonts w:ascii="Arial" w:hAnsi="Arial"/>
                <w:color w:val="2D3748"/>
                <w:sz w:val="18"/>
              </w:rPr>
              <w:t>Personalized learning integrated with practical financial tools</w:t>
            </w:r>
          </w:p>
        </w:tc>
        <w:tc>
          <w:tcPr>
            <w:tcW w:type="dxa" w:w="1872"/>
            <w:shd w:fill="F7FAFC"/>
            <w:tcMar>
              <w:top w:w="80" w:type="dxa"/>
              <w:bottom w:w="80" w:type="dxa"/>
              <w:left w:w="100" w:type="dxa"/>
              <w:right w:w="100" w:type="dxa"/>
            </w:tcMar>
          </w:tcPr>
          <w:p>
            <w:pPr>
              <w:spacing w:before="60" w:after="60"/>
            </w:pPr>
            <w:r/>
            <w:r>
              <w:rPr>
                <w:rFonts w:ascii="Arial" w:hAnsi="Arial"/>
                <w:color w:val="2D3748"/>
                <w:sz w:val="18"/>
              </w:rPr>
              <w:t>Action-Oriented Micro-Learning Hub: 4 structured tracks featuring interactive quizzes, streaks, and award badges.</w:t>
            </w:r>
          </w:p>
        </w:tc>
      </w:tr>
      <w:tr>
        <w:tc>
          <w:tcPr>
            <w:tcW w:type="dxa" w:w="1872"/>
            <w:shd w:fill="FFFFFF"/>
            <w:tcMar>
              <w:top w:w="80" w:type="dxa"/>
              <w:bottom w:w="80" w:type="dxa"/>
              <w:left w:w="100" w:type="dxa"/>
              <w:right w:w="100" w:type="dxa"/>
            </w:tcMar>
          </w:tcPr>
          <w:p>
            <w:pPr>
              <w:spacing w:before="60" w:after="60"/>
            </w:pPr>
            <w:r/>
            <w:r>
              <w:rPr>
                <w:rFonts w:ascii="Arial" w:hAnsi="Arial"/>
                <w:color w:val="2D3748"/>
                <w:sz w:val="18"/>
              </w:rPr>
              <w:t>AI Productivity</w:t>
            </w:r>
          </w:p>
        </w:tc>
        <w:tc>
          <w:tcPr>
            <w:tcW w:type="dxa" w:w="1872"/>
            <w:shd w:fill="FFFFFF"/>
            <w:tcMar>
              <w:top w:w="80" w:type="dxa"/>
              <w:bottom w:w="80" w:type="dxa"/>
              <w:left w:w="100" w:type="dxa"/>
              <w:right w:w="100" w:type="dxa"/>
            </w:tcMar>
          </w:tcPr>
          <w:p>
            <w:pPr>
              <w:spacing w:before="60" w:after="60"/>
            </w:pPr>
            <w:r/>
            <w:r>
              <w:rPr>
                <w:rFonts w:ascii="Arial" w:hAnsi="Arial"/>
                <w:color w:val="2D3748"/>
                <w:sz w:val="18"/>
              </w:rPr>
              <w:t>ChatGPT, Claude, Gemini, Microsoft Copilot, Perplexity</w:t>
            </w:r>
          </w:p>
        </w:tc>
        <w:tc>
          <w:tcPr>
            <w:tcW w:type="dxa" w:w="1872"/>
            <w:shd w:fill="FFFFFF"/>
            <w:tcMar>
              <w:top w:w="80" w:type="dxa"/>
              <w:bottom w:w="80" w:type="dxa"/>
              <w:left w:w="100" w:type="dxa"/>
              <w:right w:w="100" w:type="dxa"/>
            </w:tcMar>
          </w:tcPr>
          <w:p>
            <w:pPr>
              <w:spacing w:before="60" w:after="60"/>
            </w:pPr>
            <w:r/>
            <w:r>
              <w:rPr>
                <w:rFonts w:ascii="Arial" w:hAnsi="Arial"/>
                <w:color w:val="2D3748"/>
                <w:sz w:val="18"/>
              </w:rPr>
              <w:t>General-purpose reasoning</w:t>
            </w:r>
          </w:p>
        </w:tc>
        <w:tc>
          <w:tcPr>
            <w:tcW w:type="dxa" w:w="1872"/>
            <w:shd w:fill="FFFFFF"/>
            <w:tcMar>
              <w:top w:w="80" w:type="dxa"/>
              <w:bottom w:w="80" w:type="dxa"/>
              <w:left w:w="100" w:type="dxa"/>
              <w:right w:w="100" w:type="dxa"/>
            </w:tcMar>
          </w:tcPr>
          <w:p>
            <w:pPr>
              <w:spacing w:before="60" w:after="60"/>
            </w:pPr>
            <w:r/>
            <w:r>
              <w:rPr>
                <w:rFonts w:ascii="Arial" w:hAnsi="Arial"/>
                <w:color w:val="2D3748"/>
                <w:sz w:val="18"/>
              </w:rPr>
              <w:t>Localized financial intelligence grounded in African regulations</w:t>
            </w:r>
          </w:p>
        </w:tc>
        <w:tc>
          <w:tcPr>
            <w:tcW w:type="dxa" w:w="1872"/>
            <w:shd w:fill="FFFFFF"/>
            <w:tcMar>
              <w:top w:w="80" w:type="dxa"/>
              <w:bottom w:w="80" w:type="dxa"/>
              <w:left w:w="100" w:type="dxa"/>
              <w:right w:w="100" w:type="dxa"/>
            </w:tcMar>
          </w:tcPr>
          <w:p>
            <w:pPr>
              <w:spacing w:before="60" w:after="60"/>
            </w:pPr>
            <w:r/>
            <w:r>
              <w:rPr>
                <w:rFonts w:ascii="Arial" w:hAnsi="Arial"/>
                <w:color w:val="2D3748"/>
                <w:sz w:val="18"/>
              </w:rPr>
              <w:t>Jurisdiction-Specific Vector Store: RAG architecture strictly isolated to local tax codes, enterprise compliance, and legal frameworks.</w:t>
            </w:r>
          </w:p>
        </w:tc>
      </w:tr>
      <w:tr>
        <w:tc>
          <w:tcPr>
            <w:tcW w:type="dxa" w:w="1872"/>
            <w:shd w:fill="F7FAFC"/>
            <w:tcMar>
              <w:top w:w="80" w:type="dxa"/>
              <w:bottom w:w="80" w:type="dxa"/>
              <w:left w:w="100" w:type="dxa"/>
              <w:right w:w="100" w:type="dxa"/>
            </w:tcMar>
          </w:tcPr>
          <w:p>
            <w:pPr>
              <w:spacing w:before="60" w:after="60"/>
            </w:pPr>
            <w:r/>
            <w:r>
              <w:rPr>
                <w:rFonts w:ascii="Arial" w:hAnsi="Arial"/>
                <w:color w:val="2D3748"/>
                <w:sz w:val="18"/>
              </w:rPr>
              <w:t>Global AI Finance</w:t>
            </w:r>
          </w:p>
        </w:tc>
        <w:tc>
          <w:tcPr>
            <w:tcW w:type="dxa" w:w="1872"/>
            <w:shd w:fill="F7FAFC"/>
            <w:tcMar>
              <w:top w:w="80" w:type="dxa"/>
              <w:bottom w:w="80" w:type="dxa"/>
              <w:left w:w="100" w:type="dxa"/>
              <w:right w:w="100" w:type="dxa"/>
            </w:tcMar>
          </w:tcPr>
          <w:p>
            <w:pPr>
              <w:spacing w:before="60" w:after="60"/>
            </w:pPr>
            <w:r/>
            <w:r>
              <w:rPr>
                <w:rFonts w:ascii="Arial" w:hAnsi="Arial"/>
                <w:color w:val="2D3748"/>
                <w:sz w:val="18"/>
              </w:rPr>
              <w:t>Cleo, Monarch Money, Rocket Money, Albert, Plum, Magnifi, TIFIN AI, FintechOS</w:t>
            </w:r>
          </w:p>
        </w:tc>
        <w:tc>
          <w:tcPr>
            <w:tcW w:type="dxa" w:w="1872"/>
            <w:shd w:fill="F7FAFC"/>
            <w:tcMar>
              <w:top w:w="80" w:type="dxa"/>
              <w:bottom w:w="80" w:type="dxa"/>
              <w:left w:w="100" w:type="dxa"/>
              <w:right w:w="100" w:type="dxa"/>
            </w:tcMar>
          </w:tcPr>
          <w:p>
            <w:pPr>
              <w:spacing w:before="60" w:after="60"/>
            </w:pPr>
            <w:r/>
            <w:r>
              <w:rPr>
                <w:rFonts w:ascii="Arial" w:hAnsi="Arial"/>
                <w:color w:val="2D3748"/>
                <w:sz w:val="18"/>
              </w:rPr>
              <w:t>Mature AI financial ecosystems</w:t>
            </w:r>
          </w:p>
        </w:tc>
        <w:tc>
          <w:tcPr>
            <w:tcW w:type="dxa" w:w="1872"/>
            <w:shd w:fill="F7FAFC"/>
            <w:tcMar>
              <w:top w:w="80" w:type="dxa"/>
              <w:bottom w:w="80" w:type="dxa"/>
              <w:left w:w="100" w:type="dxa"/>
              <w:right w:w="100" w:type="dxa"/>
            </w:tcMar>
          </w:tcPr>
          <w:p>
            <w:pPr>
              <w:spacing w:before="60" w:after="60"/>
            </w:pPr>
            <w:r/>
            <w:r>
              <w:rPr>
                <w:rFonts w:ascii="Arial" w:hAnsi="Arial"/>
                <w:color w:val="2D3748"/>
                <w:sz w:val="18"/>
              </w:rPr>
              <w:t>Local-first AI optimized for African markets and informal economies</w:t>
            </w:r>
          </w:p>
        </w:tc>
        <w:tc>
          <w:tcPr>
            <w:tcW w:type="dxa" w:w="1872"/>
            <w:shd w:fill="F7FAFC"/>
            <w:tcMar>
              <w:top w:w="80" w:type="dxa"/>
              <w:bottom w:w="80" w:type="dxa"/>
              <w:left w:w="100" w:type="dxa"/>
              <w:right w:w="100" w:type="dxa"/>
            </w:tcMar>
          </w:tcPr>
          <w:p>
            <w:pPr>
              <w:spacing w:before="60" w:after="60"/>
            </w:pPr>
            <w:r/>
            <w:r>
              <w:rPr>
                <w:rFonts w:ascii="Arial" w:hAnsi="Arial"/>
                <w:color w:val="2D3748"/>
                <w:sz w:val="18"/>
              </w:rPr>
              <w:t>Low-Bandwidth Lean Delivery: 7.1 MB Flutter Android APK, Redis caching, and &lt;$0.05 per-thread cost optimization.</w:t>
            </w:r>
          </w:p>
        </w:tc>
      </w:tr>
    </w:tbl>
    <w:p>
      <w:pPr>
        <w:spacing w:after="240"/>
      </w:pPr>
    </w:p>
    <w:p>
      <w:pPr>
        <w:keepNext/>
        <w:spacing w:before="240" w:after="120"/>
      </w:pPr>
      <w:r>
        <w:rPr>
          <w:rFonts w:ascii="Arial" w:hAnsi="Arial"/>
          <w:b/>
          <w:color w:val="1A365D"/>
          <w:sz w:val="40"/>
        </w:rPr>
        <w:t>DEEP-DIVE SECTOR ANALYSIS &amp; FINWIZE DEFENSIBILITY MATRIX</w:t>
      </w:r>
    </w:p>
    <w:p>
      <w:pPr>
        <w:keepNext/>
        <w:spacing w:before="240" w:after="120"/>
      </w:pPr>
      <w:r>
        <w:rPr>
          <w:rFonts w:ascii="Arial" w:hAnsi="Arial"/>
          <w:b/>
          <w:color w:val="1A365D"/>
          <w:sz w:val="28"/>
        </w:rPr>
        <w:t>1. Wealth Management Platforms</w:t>
      </w:r>
    </w:p>
    <w:p>
      <w:pPr>
        <w:spacing w:after="80"/>
      </w:pPr>
      <w:r>
        <w:rPr>
          <w:rFonts w:ascii="Arial" w:hAnsi="Arial"/>
          <w:b/>
        </w:rPr>
        <w:t xml:space="preserve">Major Competitors: </w:t>
      </w:r>
      <w:r>
        <w:rPr>
          <w:rFonts w:ascii="Arial" w:hAnsi="Arial"/>
        </w:rPr>
        <w:t>PiggyVest, Cowrywise, Risevest, Bamboo, Trove</w:t>
      </w:r>
    </w:p>
    <w:p>
      <w:pPr>
        <w:keepNext/>
        <w:spacing w:before="240" w:after="120"/>
      </w:pPr>
      <w:r>
        <w:rPr>
          <w:rFonts w:ascii="Arial" w:hAnsi="Arial"/>
          <w:b/>
          <w:i/>
          <w:color w:val="1A365D"/>
          <w:sz w:val="24"/>
        </w:rPr>
        <w:t>Market Strengths</w:t>
      </w:r>
    </w:p>
    <w:p>
      <w:pPr>
        <w:pStyle w:val="ListBullet"/>
        <w:spacing w:after="40"/>
      </w:pPr>
      <w:r>
        <w:rPr>
          <w:rFonts w:ascii="Arial" w:hAnsi="Arial"/>
          <w:sz w:val="21"/>
        </w:rPr>
        <w:t>Strong regulatory partnerships</w:t>
      </w:r>
    </w:p>
    <w:p>
      <w:pPr>
        <w:pStyle w:val="ListBullet"/>
        <w:spacing w:after="40"/>
      </w:pPr>
      <w:r>
        <w:rPr>
          <w:rFonts w:ascii="Arial" w:hAnsi="Arial"/>
          <w:sz w:val="21"/>
        </w:rPr>
        <w:t>High customer trust</w:t>
      </w:r>
    </w:p>
    <w:p>
      <w:pPr>
        <w:pStyle w:val="ListBullet"/>
        <w:spacing w:after="40"/>
      </w:pPr>
      <w:r>
        <w:rPr>
          <w:rFonts w:ascii="Arial" w:hAnsi="Arial"/>
          <w:sz w:val="21"/>
        </w:rPr>
        <w:t>Large user communities</w:t>
      </w:r>
    </w:p>
    <w:p>
      <w:pPr>
        <w:pStyle w:val="ListBullet"/>
        <w:spacing w:after="40"/>
      </w:pPr>
      <w:r>
        <w:rPr>
          <w:rFonts w:ascii="Arial" w:hAnsi="Arial"/>
          <w:sz w:val="21"/>
        </w:rPr>
        <w:t>Mature investment infrastructure</w:t>
      </w:r>
    </w:p>
    <w:p>
      <w:pPr>
        <w:pStyle w:val="ListBullet"/>
        <w:spacing w:after="40"/>
      </w:pPr>
      <w:r>
        <w:rPr>
          <w:rFonts w:ascii="Arial" w:hAnsi="Arial"/>
          <w:sz w:val="21"/>
        </w:rPr>
        <w:t>Robust mobile applications</w:t>
      </w:r>
    </w:p>
    <w:p>
      <w:pPr>
        <w:keepNext/>
        <w:spacing w:before="240" w:after="120"/>
      </w:pPr>
      <w:r>
        <w:rPr>
          <w:rFonts w:ascii="Arial" w:hAnsi="Arial"/>
          <w:b/>
          <w:i/>
          <w:color w:val="1A365D"/>
          <w:sz w:val="24"/>
        </w:rPr>
        <w:t>Market Limitations</w:t>
      </w:r>
    </w:p>
    <w:p>
      <w:pPr>
        <w:pStyle w:val="ListBullet"/>
        <w:spacing w:after="40"/>
      </w:pPr>
      <w:r>
        <w:rPr>
          <w:rFonts w:ascii="Arial" w:hAnsi="Arial"/>
          <w:sz w:val="21"/>
        </w:rPr>
        <w:t>These platforms primarily focus on helping users grow wealth after they have disposable income.</w:t>
      </w:r>
    </w:p>
    <w:p>
      <w:pPr>
        <w:pStyle w:val="ListBullet"/>
        <w:spacing w:after="40"/>
      </w:pPr>
      <w:r>
        <w:rPr>
          <w:rFonts w:ascii="Arial" w:hAnsi="Arial"/>
          <w:sz w:val="21"/>
        </w:rPr>
        <w:t>Most assume: predictable monthly salaries, fixed saving schedules, and formal employment.</w:t>
      </w:r>
    </w:p>
    <w:p>
      <w:pPr>
        <w:pStyle w:val="ListBullet"/>
        <w:spacing w:after="40"/>
      </w:pPr>
      <w:r>
        <w:rPr>
          <w:rFonts w:ascii="Arial" w:hAnsi="Arial"/>
          <w:sz w:val="21"/>
        </w:rPr>
        <w:t>Users with irregular earnings, side businesses, freelance income, or informal employment often require a different financial planning approach.</w:t>
      </w:r>
    </w:p>
    <w:p>
      <w:pPr>
        <w:pStyle w:val="ListBullet"/>
        <w:spacing w:after="40"/>
      </w:pPr>
      <w:r>
        <w:rPr>
          <w:rFonts w:ascii="Arial" w:hAnsi="Arial"/>
          <w:sz w:val="21"/>
        </w:rPr>
        <w:t>Furthermore, advisory capabilities remain largely educational rather than conversational.</w:t>
      </w:r>
    </w:p>
    <w:p>
      <w:pPr>
        <w:keepNext/>
        <w:spacing w:before="240" w:after="120"/>
      </w:pPr>
      <w:r>
        <w:rPr>
          <w:rFonts w:ascii="Arial" w:hAnsi="Arial"/>
          <w:b/>
          <w:i/>
          <w:color w:val="2C7A7B"/>
          <w:sz w:val="24"/>
        </w:rPr>
        <w:t>Finwize's Competitive Advantage</w:t>
      </w:r>
    </w:p>
    <w:p>
      <w:pPr>
        <w:spacing w:after="80"/>
      </w:pPr>
      <w:r>
        <w:rPr>
          <w:rFonts w:ascii="Arial" w:hAnsi="Arial"/>
          <w:sz w:val="21"/>
        </w:rPr>
        <w:t>Finwize addresses the earlier stages of financial decision-making by helping users understand cash flow, build sustainable budgets, prepare for investments, improve financial literacy, and grow business income before investing.</w:t>
      </w:r>
    </w:p>
    <w:p>
      <w:pPr>
        <w:spacing w:after="80"/>
      </w:pPr>
      <w:r>
        <w:rPr>
          <w:rFonts w:ascii="Arial" w:hAnsi="Arial"/>
          <w:sz w:val="21"/>
        </w:rPr>
        <w:t>Unlike traditional budgeting systems, Finwize's adaptive budgeting algorithm dynamically adjusts savings recommendations based on fluctuating income, making it more suitable for freelancers, entrepreneurs, and gig workers.</w:t>
      </w:r>
    </w:p>
    <w:p>
      <w:pPr>
        <w:spacing w:after="240"/>
      </w:pPr>
      <w:r>
        <w:rPr>
          <w:rFonts w:ascii="Arial" w:hAnsi="Arial"/>
          <w:b/>
          <w:color w:val="2C7A7B"/>
        </w:rPr>
        <w:t xml:space="preserve">How Finwize Wins: </w:t>
      </w:r>
      <w:r>
        <w:rPr>
          <w:rFonts w:ascii="Arial" w:hAnsi="Arial"/>
          <w:sz w:val="21"/>
        </w:rPr>
        <w:t>Instead of competing for investment assets, Finwize becomes the trusted advisor that prepares users for investment. This creates opportunities to partner with investment platforms rather than compete directly with them.</w:t>
      </w:r>
    </w:p>
    <w:p>
      <w:pPr>
        <w:keepNext/>
        <w:spacing w:before="240" w:after="120"/>
      </w:pPr>
      <w:r>
        <w:rPr>
          <w:rFonts w:ascii="Arial" w:hAnsi="Arial"/>
          <w:b/>
          <w:color w:val="1A365D"/>
          <w:sz w:val="28"/>
        </w:rPr>
        <w:t>2. Digital Banks and Super Apps</w:t>
      </w:r>
    </w:p>
    <w:p>
      <w:pPr>
        <w:spacing w:after="80"/>
      </w:pPr>
      <w:r>
        <w:rPr>
          <w:rFonts w:ascii="Arial" w:hAnsi="Arial"/>
          <w:b/>
        </w:rPr>
        <w:t xml:space="preserve">Major Competitors: </w:t>
      </w:r>
      <w:r>
        <w:rPr>
          <w:rFonts w:ascii="Arial" w:hAnsi="Arial"/>
        </w:rPr>
        <w:t>OPay, PalmPay, Kuda, Carbon, Moniepoint</w:t>
      </w:r>
    </w:p>
    <w:p>
      <w:pPr>
        <w:keepNext/>
        <w:spacing w:before="240" w:after="120"/>
      </w:pPr>
      <w:r>
        <w:rPr>
          <w:rFonts w:ascii="Arial" w:hAnsi="Arial"/>
          <w:b/>
          <w:i/>
          <w:color w:val="1A365D"/>
          <w:sz w:val="24"/>
        </w:rPr>
        <w:t>Market Strengths</w:t>
      </w:r>
    </w:p>
    <w:p>
      <w:pPr>
        <w:pStyle w:val="ListBullet"/>
        <w:spacing w:after="40"/>
      </w:pPr>
      <w:r>
        <w:rPr>
          <w:rFonts w:ascii="Arial" w:hAnsi="Arial"/>
          <w:sz w:val="21"/>
        </w:rPr>
        <w:t>Payments and instant transfers</w:t>
      </w:r>
    </w:p>
    <w:p>
      <w:pPr>
        <w:pStyle w:val="ListBullet"/>
        <w:spacing w:after="40"/>
      </w:pPr>
      <w:r>
        <w:rPr>
          <w:rFonts w:ascii="Arial" w:hAnsi="Arial"/>
          <w:sz w:val="21"/>
        </w:rPr>
        <w:t>Debit cards</w:t>
      </w:r>
    </w:p>
    <w:p>
      <w:pPr>
        <w:pStyle w:val="ListBullet"/>
        <w:spacing w:after="40"/>
      </w:pPr>
      <w:r>
        <w:rPr>
          <w:rFonts w:ascii="Arial" w:hAnsi="Arial"/>
          <w:sz w:val="21"/>
        </w:rPr>
        <w:t>Lending and credit facilities</w:t>
      </w:r>
    </w:p>
    <w:p>
      <w:pPr>
        <w:pStyle w:val="ListBullet"/>
        <w:spacing w:after="40"/>
      </w:pPr>
      <w:r>
        <w:rPr>
          <w:rFonts w:ascii="Arial" w:hAnsi="Arial"/>
          <w:sz w:val="21"/>
        </w:rPr>
        <w:t>Merchant banking and agency banking</w:t>
      </w:r>
    </w:p>
    <w:p>
      <w:pPr>
        <w:keepNext/>
        <w:spacing w:before="240" w:after="120"/>
      </w:pPr>
      <w:r>
        <w:rPr>
          <w:rFonts w:ascii="Arial" w:hAnsi="Arial"/>
          <w:b/>
          <w:i/>
          <w:color w:val="1A365D"/>
          <w:sz w:val="24"/>
        </w:rPr>
        <w:t>Market Limitations</w:t>
      </w:r>
    </w:p>
    <w:p>
      <w:pPr>
        <w:pStyle w:val="ListBullet"/>
        <w:spacing w:after="40"/>
      </w:pPr>
      <w:r>
        <w:rPr>
          <w:rFonts w:ascii="Arial" w:hAnsi="Arial"/>
          <w:sz w:val="21"/>
        </w:rPr>
        <w:t>Current AI capabilities are primarily operational.</w:t>
      </w:r>
    </w:p>
    <w:p>
      <w:pPr>
        <w:pStyle w:val="ListBullet"/>
        <w:spacing w:after="40"/>
      </w:pPr>
      <w:r>
        <w:rPr>
          <w:rFonts w:ascii="Arial" w:hAnsi="Arial"/>
          <w:sz w:val="21"/>
        </w:rPr>
        <w:t>Most digital assistants help customers transfer money, check account balances, pay utility bills, or resolve customer support issues.</w:t>
      </w:r>
    </w:p>
    <w:p>
      <w:pPr>
        <w:pStyle w:val="ListBullet"/>
        <w:spacing w:after="40"/>
      </w:pPr>
      <w:r>
        <w:rPr>
          <w:rFonts w:ascii="Arial" w:hAnsi="Arial"/>
          <w:sz w:val="21"/>
        </w:rPr>
        <w:t>They rarely provide long-term financial planning, investment education, tax guidance, or small and medium enterprise (SME) mentorship.</w:t>
      </w:r>
    </w:p>
    <w:p>
      <w:pPr>
        <w:keepNext/>
        <w:spacing w:before="240" w:after="120"/>
      </w:pPr>
      <w:r>
        <w:rPr>
          <w:rFonts w:ascii="Arial" w:hAnsi="Arial"/>
          <w:b/>
          <w:i/>
          <w:color w:val="2C7A7B"/>
          <w:sz w:val="24"/>
        </w:rPr>
        <w:t>Finwize's Competitive Advantage</w:t>
      </w:r>
    </w:p>
    <w:p>
      <w:pPr>
        <w:spacing w:after="80"/>
      </w:pPr>
      <w:r>
        <w:rPr>
          <w:rFonts w:ascii="Arial" w:hAnsi="Arial"/>
          <w:sz w:val="21"/>
        </w:rPr>
        <w:t>Finwize complements digital banking by acting as an AI financial advisor.</w:t>
      </w:r>
    </w:p>
    <w:p>
      <w:pPr>
        <w:spacing w:after="80"/>
      </w:pPr>
      <w:r>
        <w:rPr>
          <w:rFonts w:ascii="Arial" w:hAnsi="Arial"/>
          <w:sz w:val="21"/>
        </w:rPr>
        <w:t>Instead of replacing banks, it helps users make better financial decisions before and after transactions.</w:t>
      </w:r>
    </w:p>
    <w:p>
      <w:pPr>
        <w:spacing w:after="240"/>
      </w:pPr>
      <w:r>
        <w:rPr>
          <w:rFonts w:ascii="Arial" w:hAnsi="Arial"/>
          <w:b/>
          <w:color w:val="2C7A7B"/>
        </w:rPr>
        <w:t xml:space="preserve">How Finwize Wins: </w:t>
      </w:r>
      <w:r>
        <w:rPr>
          <w:rFonts w:ascii="Arial" w:hAnsi="Arial"/>
          <w:sz w:val="21"/>
        </w:rPr>
        <w:t>As Open Banking and embedded finance expand across Africa, Finwize can integrate with multiple financial institutions simultaneously, remaining platform-agnostic while delivering personalized intelligence across banks.</w:t>
      </w:r>
    </w:p>
    <w:p>
      <w:pPr>
        <w:keepNext/>
        <w:spacing w:before="240" w:after="120"/>
      </w:pPr>
      <w:r>
        <w:rPr>
          <w:rFonts w:ascii="Arial" w:hAnsi="Arial"/>
          <w:b/>
          <w:color w:val="1A365D"/>
          <w:sz w:val="28"/>
        </w:rPr>
        <w:t>3. SME Business Management Platforms</w:t>
      </w:r>
    </w:p>
    <w:p>
      <w:pPr>
        <w:spacing w:after="80"/>
      </w:pPr>
      <w:r>
        <w:rPr>
          <w:rFonts w:ascii="Arial" w:hAnsi="Arial"/>
          <w:b/>
        </w:rPr>
        <w:t xml:space="preserve">Major Competitors: </w:t>
      </w:r>
      <w:r>
        <w:rPr>
          <w:rFonts w:ascii="Arial" w:hAnsi="Arial"/>
        </w:rPr>
        <w:t>Bumpa, Oze, Dukka, Zoho Books, QuickBooks, PaidHR</w:t>
      </w:r>
    </w:p>
    <w:p>
      <w:pPr>
        <w:keepNext/>
        <w:spacing w:before="240" w:after="120"/>
      </w:pPr>
      <w:r>
        <w:rPr>
          <w:rFonts w:ascii="Arial" w:hAnsi="Arial"/>
          <w:b/>
          <w:i/>
          <w:color w:val="1A365D"/>
          <w:sz w:val="24"/>
        </w:rPr>
        <w:t>Market Strengths</w:t>
      </w:r>
    </w:p>
    <w:p>
      <w:pPr>
        <w:pStyle w:val="ListBullet"/>
        <w:spacing w:after="40"/>
      </w:pPr>
      <w:r>
        <w:rPr>
          <w:rFonts w:ascii="Arial" w:hAnsi="Arial"/>
          <w:sz w:val="21"/>
        </w:rPr>
        <w:t>Inventory tracking</w:t>
      </w:r>
    </w:p>
    <w:p>
      <w:pPr>
        <w:pStyle w:val="ListBullet"/>
        <w:spacing w:after="40"/>
      </w:pPr>
      <w:r>
        <w:rPr>
          <w:rFonts w:ascii="Arial" w:hAnsi="Arial"/>
          <w:sz w:val="21"/>
        </w:rPr>
        <w:t>Bookkeeping and ledger entry</w:t>
      </w:r>
    </w:p>
    <w:p>
      <w:pPr>
        <w:pStyle w:val="ListBullet"/>
        <w:spacing w:after="40"/>
      </w:pPr>
      <w:r>
        <w:rPr>
          <w:rFonts w:ascii="Arial" w:hAnsi="Arial"/>
          <w:sz w:val="21"/>
        </w:rPr>
        <w:t>Invoicing and payroll</w:t>
      </w:r>
    </w:p>
    <w:p>
      <w:pPr>
        <w:pStyle w:val="ListBullet"/>
        <w:spacing w:after="40"/>
      </w:pPr>
      <w:r>
        <w:rPr>
          <w:rFonts w:ascii="Arial" w:hAnsi="Arial"/>
          <w:sz w:val="21"/>
        </w:rPr>
        <w:t>Accounting and business reporting</w:t>
      </w:r>
    </w:p>
    <w:p>
      <w:pPr>
        <w:keepNext/>
        <w:spacing w:before="240" w:after="120"/>
      </w:pPr>
      <w:r>
        <w:rPr>
          <w:rFonts w:ascii="Arial" w:hAnsi="Arial"/>
          <w:b/>
          <w:i/>
          <w:color w:val="1A365D"/>
          <w:sz w:val="24"/>
        </w:rPr>
        <w:t>Market Limitations</w:t>
      </w:r>
    </w:p>
    <w:p>
      <w:pPr>
        <w:pStyle w:val="ListBullet"/>
        <w:spacing w:after="40"/>
      </w:pPr>
      <w:r>
        <w:rPr>
          <w:rFonts w:ascii="Arial" w:hAnsi="Arial"/>
          <w:sz w:val="21"/>
        </w:rPr>
        <w:t>Many small businesses struggle with manual data entry.</w:t>
      </w:r>
    </w:p>
    <w:p>
      <w:pPr>
        <w:pStyle w:val="ListBullet"/>
        <w:spacing w:after="40"/>
      </w:pPr>
      <w:r>
        <w:rPr>
          <w:rFonts w:ascii="Arial" w:hAnsi="Arial"/>
          <w:sz w:val="21"/>
        </w:rPr>
        <w:t>Business owners often abandon bookkeeping software because it requires consistent updates that compete with daily operational priorities.</w:t>
      </w:r>
    </w:p>
    <w:p>
      <w:pPr>
        <w:keepNext/>
        <w:spacing w:before="240" w:after="120"/>
      </w:pPr>
      <w:r>
        <w:rPr>
          <w:rFonts w:ascii="Arial" w:hAnsi="Arial"/>
          <w:b/>
          <w:i/>
          <w:color w:val="2C7A7B"/>
          <w:sz w:val="24"/>
        </w:rPr>
        <w:t>Finwize's Competitive Advantage</w:t>
      </w:r>
    </w:p>
    <w:p>
      <w:pPr>
        <w:spacing w:after="80"/>
      </w:pPr>
      <w:r>
        <w:rPr>
          <w:rFonts w:ascii="Arial" w:hAnsi="Arial"/>
          <w:sz w:val="21"/>
        </w:rPr>
        <w:t>Finwize transforms structured bookkeeping into conversational workflows.</w:t>
      </w:r>
    </w:p>
    <w:p>
      <w:pPr>
        <w:spacing w:after="80"/>
      </w:pPr>
      <w:r>
        <w:rPr>
          <w:rFonts w:ascii="Arial" w:hAnsi="Arial"/>
          <w:sz w:val="21"/>
        </w:rPr>
        <w:t>Users interact naturally through voice or chat, while AI converts conversations into structured financial records.</w:t>
      </w:r>
    </w:p>
    <w:p>
      <w:pPr>
        <w:spacing w:after="240"/>
      </w:pPr>
      <w:r>
        <w:rPr>
          <w:rFonts w:ascii="Arial" w:hAnsi="Arial"/>
          <w:b/>
          <w:color w:val="2C7A7B"/>
        </w:rPr>
        <w:t xml:space="preserve">How Finwize Wins: </w:t>
      </w:r>
      <w:r>
        <w:rPr>
          <w:rFonts w:ascii="Arial" w:hAnsi="Arial"/>
          <w:sz w:val="21"/>
        </w:rPr>
        <w:t>Reducing friction increases adoption. By making business management conversational rather than form-based, Finwize lowers the learning curve for first-time entrepreneurs and informal businesses.</w:t>
      </w:r>
    </w:p>
    <w:p>
      <w:pPr>
        <w:keepNext/>
        <w:spacing w:before="240" w:after="120"/>
      </w:pPr>
      <w:r>
        <w:rPr>
          <w:rFonts w:ascii="Arial" w:hAnsi="Arial"/>
          <w:b/>
          <w:color w:val="1A365D"/>
          <w:sz w:val="28"/>
        </w:rPr>
        <w:t>4. Banking Chatbots</w:t>
      </w:r>
    </w:p>
    <w:p>
      <w:pPr>
        <w:spacing w:after="80"/>
      </w:pPr>
      <w:r>
        <w:rPr>
          <w:rFonts w:ascii="Arial" w:hAnsi="Arial"/>
          <w:b/>
        </w:rPr>
        <w:t xml:space="preserve">Major Competitors: </w:t>
      </w:r>
      <w:r>
        <w:rPr>
          <w:rFonts w:ascii="Arial" w:hAnsi="Arial"/>
        </w:rPr>
        <w:t>UBA Leo, Access Bank AI Assistants, OPay AI Support</w:t>
      </w:r>
    </w:p>
    <w:p>
      <w:pPr>
        <w:keepNext/>
        <w:spacing w:before="240" w:after="120"/>
      </w:pPr>
      <w:r>
        <w:rPr>
          <w:rFonts w:ascii="Arial" w:hAnsi="Arial"/>
          <w:b/>
          <w:i/>
          <w:color w:val="1A365D"/>
          <w:sz w:val="24"/>
        </w:rPr>
        <w:t>Market Strengths</w:t>
      </w:r>
    </w:p>
    <w:p>
      <w:pPr>
        <w:pStyle w:val="ListBullet"/>
        <w:spacing w:after="40"/>
      </w:pPr>
      <w:r>
        <w:rPr>
          <w:rFonts w:ascii="Arial" w:hAnsi="Arial"/>
          <w:sz w:val="21"/>
        </w:rPr>
        <w:t>These assistants improve banking efficiency by automating customer support and routine account services.</w:t>
      </w:r>
    </w:p>
    <w:p>
      <w:pPr>
        <w:keepNext/>
        <w:spacing w:before="240" w:after="120"/>
      </w:pPr>
      <w:r>
        <w:rPr>
          <w:rFonts w:ascii="Arial" w:hAnsi="Arial"/>
          <w:b/>
          <w:i/>
          <w:color w:val="1A365D"/>
          <w:sz w:val="24"/>
        </w:rPr>
        <w:t>Market Limitations</w:t>
      </w:r>
    </w:p>
    <w:p>
      <w:pPr>
        <w:pStyle w:val="ListBullet"/>
        <w:spacing w:after="40"/>
      </w:pPr>
      <w:r>
        <w:rPr>
          <w:rFonts w:ascii="Arial" w:hAnsi="Arial"/>
          <w:sz w:val="21"/>
        </w:rPr>
        <w:t>Most are rule-based systems designed for operational efficiency rather than deep financial advisory.</w:t>
      </w:r>
    </w:p>
    <w:p>
      <w:pPr>
        <w:pStyle w:val="ListBullet"/>
        <w:spacing w:after="40"/>
      </w:pPr>
      <w:r>
        <w:rPr>
          <w:rFonts w:ascii="Arial" w:hAnsi="Arial"/>
          <w:sz w:val="21"/>
        </w:rPr>
        <w:t>They lack: contextual reasoning and empathy, financial coaching capabilities, long-term personalized planning, and localized regulatory intelligence.</w:t>
      </w:r>
    </w:p>
    <w:p>
      <w:pPr>
        <w:keepNext/>
        <w:spacing w:before="240" w:after="120"/>
      </w:pPr>
      <w:r>
        <w:rPr>
          <w:rFonts w:ascii="Arial" w:hAnsi="Arial"/>
          <w:b/>
          <w:i/>
          <w:color w:val="2C7A7B"/>
          <w:sz w:val="24"/>
        </w:rPr>
        <w:t>Finwize's Competitive Advantage</w:t>
      </w:r>
    </w:p>
    <w:p>
      <w:pPr>
        <w:spacing w:after="80"/>
      </w:pPr>
      <w:r>
        <w:rPr>
          <w:rFonts w:ascii="Arial" w:hAnsi="Arial"/>
          <w:sz w:val="21"/>
        </w:rPr>
        <w:t>Finwize employs Retrieval-Augmented Generation (RAG) combined with curated financial knowledge to deliver explainable, evidence-based guidance.</w:t>
      </w:r>
    </w:p>
    <w:p>
      <w:pPr>
        <w:spacing w:after="80"/>
      </w:pPr>
      <w:r>
        <w:rPr>
          <w:rFonts w:ascii="Arial" w:hAnsi="Arial"/>
          <w:sz w:val="21"/>
        </w:rPr>
        <w:t>Users receive not only answers but also context, education, and relevant source references.</w:t>
      </w:r>
    </w:p>
    <w:p>
      <w:pPr>
        <w:spacing w:after="240"/>
      </w:pPr>
      <w:r>
        <w:rPr>
          <w:rFonts w:ascii="Arial" w:hAnsi="Arial"/>
          <w:b/>
          <w:color w:val="2C7A7B"/>
        </w:rPr>
        <w:t xml:space="preserve">How Finwize Wins: </w:t>
      </w:r>
      <w:r>
        <w:rPr>
          <w:rFonts w:ascii="Arial" w:hAnsi="Arial"/>
          <w:sz w:val="21"/>
        </w:rPr>
        <w:t>Trust is increasingly built through transparency. By grounding responses in verified financial and regulatory information, Finwize positions itself as a reliable advisory platform rather than a transactional chatbot.</w:t>
      </w:r>
    </w:p>
    <w:p>
      <w:pPr>
        <w:keepNext/>
        <w:spacing w:before="240" w:after="120"/>
      </w:pPr>
      <w:r>
        <w:rPr>
          <w:rFonts w:ascii="Arial" w:hAnsi="Arial"/>
          <w:b/>
          <w:color w:val="1A365D"/>
          <w:sz w:val="28"/>
        </w:rPr>
        <w:t>5. General AI Assistants</w:t>
      </w:r>
    </w:p>
    <w:p>
      <w:pPr>
        <w:spacing w:after="80"/>
      </w:pPr>
      <w:r>
        <w:rPr>
          <w:rFonts w:ascii="Arial" w:hAnsi="Arial"/>
          <w:b/>
        </w:rPr>
        <w:t xml:space="preserve">Major Competitors: </w:t>
      </w:r>
      <w:r>
        <w:rPr>
          <w:rFonts w:ascii="Arial" w:hAnsi="Arial"/>
        </w:rPr>
        <w:t>ChatGPT, Claude, Gemini, Microsoft Copilot, Perplexity</w:t>
      </w:r>
    </w:p>
    <w:p>
      <w:pPr>
        <w:keepNext/>
        <w:spacing w:before="240" w:after="120"/>
      </w:pPr>
      <w:r>
        <w:rPr>
          <w:rFonts w:ascii="Arial" w:hAnsi="Arial"/>
          <w:b/>
          <w:i/>
          <w:color w:val="1A365D"/>
          <w:sz w:val="24"/>
        </w:rPr>
        <w:t>Market Strengths</w:t>
      </w:r>
    </w:p>
    <w:p>
      <w:pPr>
        <w:pStyle w:val="ListBullet"/>
        <w:spacing w:after="40"/>
      </w:pPr>
      <w:r>
        <w:rPr>
          <w:rFonts w:ascii="Arial" w:hAnsi="Arial"/>
          <w:sz w:val="21"/>
        </w:rPr>
        <w:t>These platforms provide world-class reasoning and general-purpose intelligence.</w:t>
      </w:r>
    </w:p>
    <w:p>
      <w:pPr>
        <w:keepNext/>
        <w:spacing w:before="240" w:after="120"/>
      </w:pPr>
      <w:r>
        <w:rPr>
          <w:rFonts w:ascii="Arial" w:hAnsi="Arial"/>
          <w:b/>
          <w:i/>
          <w:color w:val="1A365D"/>
          <w:sz w:val="24"/>
        </w:rPr>
        <w:t>Market Limitations</w:t>
      </w:r>
    </w:p>
    <w:p>
      <w:pPr>
        <w:pStyle w:val="ListBullet"/>
        <w:spacing w:after="40"/>
      </w:pPr>
      <w:r>
        <w:rPr>
          <w:rFonts w:ascii="Arial" w:hAnsi="Arial"/>
          <w:sz w:val="21"/>
        </w:rPr>
        <w:t>They are not designed specifically for African financial ecosystems.</w:t>
      </w:r>
    </w:p>
    <w:p>
      <w:pPr>
        <w:pStyle w:val="ListBullet"/>
        <w:spacing w:after="40"/>
      </w:pPr>
      <w:r>
        <w:rPr>
          <w:rFonts w:ascii="Arial" w:hAnsi="Arial"/>
          <w:sz w:val="21"/>
        </w:rPr>
        <w:t>Without customization they lack: localized tax regulations, SME compliance frameworks, country-specific financial products, and regional investment guidance.</w:t>
      </w:r>
    </w:p>
    <w:p>
      <w:pPr>
        <w:keepNext/>
        <w:spacing w:before="240" w:after="120"/>
      </w:pPr>
      <w:r>
        <w:rPr>
          <w:rFonts w:ascii="Arial" w:hAnsi="Arial"/>
          <w:b/>
          <w:i/>
          <w:color w:val="2C7A7B"/>
          <w:sz w:val="24"/>
        </w:rPr>
        <w:t>Finwize's Competitive Advantage</w:t>
      </w:r>
    </w:p>
    <w:p>
      <w:pPr>
        <w:spacing w:after="80"/>
      </w:pPr>
      <w:r>
        <w:rPr>
          <w:rFonts w:ascii="Arial" w:hAnsi="Arial"/>
          <w:sz w:val="21"/>
        </w:rPr>
        <w:t>Finwize combines foundation models with localized retrieval systems, allowing responses to reflect jurisdiction-specific financial information.</w:t>
      </w:r>
    </w:p>
    <w:p>
      <w:pPr>
        <w:spacing w:after="240"/>
      </w:pPr>
      <w:r>
        <w:rPr>
          <w:rFonts w:ascii="Arial" w:hAnsi="Arial"/>
          <w:b/>
          <w:color w:val="2C7A7B"/>
        </w:rPr>
        <w:t xml:space="preserve">How Finwize Wins: </w:t>
      </w:r>
      <w:r>
        <w:rPr>
          <w:rFonts w:ascii="Arial" w:hAnsi="Arial"/>
          <w:sz w:val="21"/>
        </w:rPr>
        <w:t>Rather than competing on model size, Finwize competes on domain expertise, localization, and execution.</w:t>
      </w:r>
    </w:p>
    <w:p>
      <w:pPr>
        <w:keepNext/>
        <w:spacing w:before="240" w:after="120"/>
      </w:pPr>
      <w:r>
        <w:rPr>
          <w:rFonts w:ascii="Arial" w:hAnsi="Arial"/>
          <w:b/>
          <w:color w:val="1A365D"/>
          <w:sz w:val="28"/>
        </w:rPr>
        <w:t>6. Financial Education Platforms</w:t>
      </w:r>
    </w:p>
    <w:p>
      <w:pPr>
        <w:spacing w:after="80"/>
      </w:pPr>
      <w:r>
        <w:rPr>
          <w:rFonts w:ascii="Arial" w:hAnsi="Arial"/>
          <w:b/>
        </w:rPr>
        <w:t xml:space="preserve">Major Competitors: </w:t>
      </w:r>
      <w:r>
        <w:rPr>
          <w:rFonts w:ascii="Arial" w:hAnsi="Arial"/>
        </w:rPr>
        <w:t>Money Africa, Clever Girl Finance, Nairametrics Learning</w:t>
      </w:r>
    </w:p>
    <w:p>
      <w:pPr>
        <w:keepNext/>
        <w:spacing w:before="240" w:after="120"/>
      </w:pPr>
      <w:r>
        <w:rPr>
          <w:rFonts w:ascii="Arial" w:hAnsi="Arial"/>
          <w:b/>
          <w:i/>
          <w:color w:val="1A365D"/>
          <w:sz w:val="24"/>
        </w:rPr>
        <w:t>Market Strengths</w:t>
      </w:r>
    </w:p>
    <w:p>
      <w:pPr>
        <w:pStyle w:val="ListBullet"/>
        <w:spacing w:after="40"/>
      </w:pPr>
      <w:r>
        <w:rPr>
          <w:rFonts w:ascii="Arial" w:hAnsi="Arial"/>
          <w:sz w:val="21"/>
        </w:rPr>
        <w:t>These organizations produce high-quality educational resources that improve financial literacy.</w:t>
      </w:r>
    </w:p>
    <w:p>
      <w:pPr>
        <w:keepNext/>
        <w:spacing w:before="240" w:after="120"/>
      </w:pPr>
      <w:r>
        <w:rPr>
          <w:rFonts w:ascii="Arial" w:hAnsi="Arial"/>
          <w:b/>
          <w:i/>
          <w:color w:val="1A365D"/>
          <w:sz w:val="24"/>
        </w:rPr>
        <w:t>Market Limitations</w:t>
      </w:r>
    </w:p>
    <w:p>
      <w:pPr>
        <w:pStyle w:val="ListBullet"/>
        <w:spacing w:after="40"/>
      </w:pPr>
      <w:r>
        <w:rPr>
          <w:rFonts w:ascii="Arial" w:hAnsi="Arial"/>
          <w:sz w:val="21"/>
        </w:rPr>
        <w:t>Learning remains passive.</w:t>
      </w:r>
    </w:p>
    <w:p>
      <w:pPr>
        <w:pStyle w:val="ListBullet"/>
        <w:spacing w:after="40"/>
      </w:pPr>
      <w:r>
        <w:rPr>
          <w:rFonts w:ascii="Arial" w:hAnsi="Arial"/>
          <w:sz w:val="21"/>
        </w:rPr>
        <w:t>Users must independently translate lessons into practical financial actions.</w:t>
      </w:r>
    </w:p>
    <w:p>
      <w:pPr>
        <w:keepNext/>
        <w:spacing w:before="240" w:after="120"/>
      </w:pPr>
      <w:r>
        <w:rPr>
          <w:rFonts w:ascii="Arial" w:hAnsi="Arial"/>
          <w:b/>
          <w:i/>
          <w:color w:val="2C7A7B"/>
          <w:sz w:val="24"/>
        </w:rPr>
        <w:t>Finwize's Competitive Advantage</w:t>
      </w:r>
    </w:p>
    <w:p>
      <w:pPr>
        <w:spacing w:after="80"/>
      </w:pPr>
      <w:r>
        <w:rPr>
          <w:rFonts w:ascii="Arial" w:hAnsi="Arial"/>
          <w:sz w:val="21"/>
        </w:rPr>
        <w:t>Finwize integrates learning with execution.</w:t>
      </w:r>
    </w:p>
    <w:p>
      <w:pPr>
        <w:spacing w:after="80"/>
      </w:pPr>
      <w:r>
        <w:rPr>
          <w:rFonts w:ascii="Arial" w:hAnsi="Arial"/>
          <w:sz w:val="21"/>
        </w:rPr>
        <w:t>Educational content immediately connects to budgeting, planning, document generation, and business management tools.</w:t>
      </w:r>
    </w:p>
    <w:p>
      <w:pPr>
        <w:spacing w:after="240"/>
      </w:pPr>
      <w:r>
        <w:rPr>
          <w:rFonts w:ascii="Arial" w:hAnsi="Arial"/>
          <w:b/>
          <w:color w:val="2C7A7B"/>
        </w:rPr>
        <w:t xml:space="preserve">How Finwize Wins: </w:t>
      </w:r>
      <w:r>
        <w:rPr>
          <w:rFonts w:ascii="Arial" w:hAnsi="Arial"/>
          <w:sz w:val="21"/>
        </w:rPr>
        <w:t>Action-oriented learning improves engagement and long-term financial behavior, creating stronger user retention than content-only platforms.</w:t>
      </w:r>
    </w:p>
    <w:p>
      <w:pPr>
        <w:keepNext/>
        <w:spacing w:before="240" w:after="120"/>
      </w:pPr>
      <w:r>
        <w:rPr>
          <w:rFonts w:ascii="Arial" w:hAnsi="Arial"/>
          <w:b/>
          <w:color w:val="1A365D"/>
          <w:sz w:val="28"/>
        </w:rPr>
        <w:t>7. Global AI Financial Copilots</w:t>
      </w:r>
    </w:p>
    <w:p>
      <w:pPr>
        <w:spacing w:after="80"/>
      </w:pPr>
      <w:r>
        <w:rPr>
          <w:rFonts w:ascii="Arial" w:hAnsi="Arial"/>
          <w:b/>
        </w:rPr>
        <w:t xml:space="preserve">Major Competitors: </w:t>
      </w:r>
      <w:r>
        <w:rPr>
          <w:rFonts w:ascii="Arial" w:hAnsi="Arial"/>
        </w:rPr>
        <w:t>Cleo, Monarch Money, Rocket Money, Copilot Money, Plum, Albert, Magnifi, TIFIN AI, FintechOS</w:t>
      </w:r>
    </w:p>
    <w:p>
      <w:pPr>
        <w:keepNext/>
        <w:spacing w:before="240" w:after="120"/>
      </w:pPr>
      <w:r>
        <w:rPr>
          <w:rFonts w:ascii="Arial" w:hAnsi="Arial"/>
          <w:b/>
          <w:i/>
          <w:color w:val="1A365D"/>
          <w:sz w:val="24"/>
        </w:rPr>
        <w:t>Market Strengths</w:t>
      </w:r>
    </w:p>
    <w:p>
      <w:pPr>
        <w:pStyle w:val="ListBullet"/>
        <w:spacing w:after="40"/>
      </w:pPr>
      <w:r>
        <w:rPr>
          <w:rFonts w:ascii="Arial" w:hAnsi="Arial"/>
          <w:sz w:val="21"/>
        </w:rPr>
        <w:t>Automated financial insights</w:t>
      </w:r>
    </w:p>
    <w:p>
      <w:pPr>
        <w:pStyle w:val="ListBullet"/>
        <w:spacing w:after="40"/>
      </w:pPr>
      <w:r>
        <w:rPr>
          <w:rFonts w:ascii="Arial" w:hAnsi="Arial"/>
          <w:sz w:val="21"/>
        </w:rPr>
        <w:t>Personalized recommendations</w:t>
      </w:r>
    </w:p>
    <w:p>
      <w:pPr>
        <w:pStyle w:val="ListBullet"/>
        <w:spacing w:after="40"/>
      </w:pPr>
      <w:r>
        <w:rPr>
          <w:rFonts w:ascii="Arial" w:hAnsi="Arial"/>
          <w:sz w:val="21"/>
        </w:rPr>
        <w:t>Investment optimization</w:t>
      </w:r>
    </w:p>
    <w:p>
      <w:pPr>
        <w:pStyle w:val="ListBullet"/>
        <w:spacing w:after="40"/>
      </w:pPr>
      <w:r>
        <w:rPr>
          <w:rFonts w:ascii="Arial" w:hAnsi="Arial"/>
          <w:sz w:val="21"/>
        </w:rPr>
        <w:t>Enterprise integrations</w:t>
      </w:r>
    </w:p>
    <w:p>
      <w:pPr>
        <w:keepNext/>
        <w:spacing w:before="240" w:after="120"/>
      </w:pPr>
      <w:r>
        <w:rPr>
          <w:rFonts w:ascii="Arial" w:hAnsi="Arial"/>
          <w:b/>
          <w:i/>
          <w:color w:val="1A365D"/>
          <w:sz w:val="24"/>
        </w:rPr>
        <w:t>Market Limitations</w:t>
      </w:r>
    </w:p>
    <w:p>
      <w:pPr>
        <w:pStyle w:val="ListBullet"/>
        <w:spacing w:after="40"/>
      </w:pPr>
      <w:r>
        <w:rPr>
          <w:rFonts w:ascii="Arial" w:hAnsi="Arial"/>
          <w:sz w:val="21"/>
        </w:rPr>
        <w:t>Most products are optimized for North American and European financial systems.</w:t>
      </w:r>
    </w:p>
    <w:p>
      <w:pPr>
        <w:pStyle w:val="ListBullet"/>
        <w:spacing w:after="40"/>
      </w:pPr>
      <w:r>
        <w:rPr>
          <w:rFonts w:ascii="Arial" w:hAnsi="Arial"/>
          <w:sz w:val="21"/>
        </w:rPr>
        <w:t>They assume: mature credit markets, widespread open banking adoption, formal employment structures, and consistent internet access. These assumptions do not consistently align with African markets.</w:t>
      </w:r>
    </w:p>
    <w:p>
      <w:pPr>
        <w:keepNext/>
        <w:spacing w:before="240" w:after="120"/>
      </w:pPr>
      <w:r>
        <w:rPr>
          <w:rFonts w:ascii="Arial" w:hAnsi="Arial"/>
          <w:b/>
          <w:i/>
          <w:color w:val="2C7A7B"/>
          <w:sz w:val="24"/>
        </w:rPr>
        <w:t>Finwize's Competitive Advantage</w:t>
      </w:r>
    </w:p>
    <w:p>
      <w:pPr>
        <w:spacing w:after="80"/>
      </w:pPr>
      <w:r>
        <w:rPr>
          <w:rFonts w:ascii="Arial" w:hAnsi="Arial"/>
          <w:sz w:val="21"/>
        </w:rPr>
        <w:t>Finwize is designed specifically for emerging economies.</w:t>
      </w:r>
    </w:p>
    <w:p>
      <w:pPr>
        <w:spacing w:after="80"/>
      </w:pPr>
      <w:r>
        <w:rPr>
          <w:rFonts w:ascii="Arial" w:hAnsi="Arial"/>
          <w:sz w:val="21"/>
        </w:rPr>
        <w:t>The platform emphasizes: irregular income management, localized regulations, SME advisory, low-bandwidth optimization, affordable AI delivery, multilingual expansion, and mobile-first accessibility.</w:t>
      </w:r>
    </w:p>
    <w:p>
      <w:pPr>
        <w:spacing w:after="240"/>
      </w:pPr>
      <w:r>
        <w:rPr>
          <w:rFonts w:ascii="Arial" w:hAnsi="Arial"/>
          <w:b/>
          <w:color w:val="2C7A7B"/>
        </w:rPr>
        <w:t xml:space="preserve">How Finwize Wins: </w:t>
      </w:r>
      <w:r>
        <w:rPr>
          <w:rFonts w:ascii="Arial" w:hAnsi="Arial"/>
          <w:sz w:val="21"/>
        </w:rPr>
        <w:t>By solving local problems exceptionally well instead of attempting to solve every financial problem globally, Finwize creates a defensible niche that is difficult for international platforms to replicate without significant localization investments.</w:t>
      </w:r>
    </w:p>
    <w:p>
      <w:pPr>
        <w:spacing w:after="240"/>
      </w:pPr>
    </w:p>
    <w:p>
      <w:pPr>
        <w:keepNext/>
        <w:spacing w:before="240" w:after="120"/>
      </w:pPr>
      <w:r>
        <w:rPr>
          <w:rFonts w:ascii="Arial" w:hAnsi="Arial"/>
          <w:b/>
          <w:color w:val="1A365D"/>
          <w:sz w:val="40"/>
        </w:rPr>
        <w:t>SUSTAINABLE COMPETITIVE ADVANTAGES (MOATS)</w:t>
      </w:r>
    </w:p>
    <w:p>
      <w:pPr>
        <w:pStyle w:val="ListBullet"/>
        <w:spacing w:after="120"/>
      </w:pPr>
      <w:r>
        <w:rPr>
          <w:rFonts w:ascii="Arial" w:hAnsi="Arial"/>
          <w:b/>
          <w:sz w:val="22"/>
        </w:rPr>
        <w:t>Localized Intelligence (The RAG Moat):</w:t>
      </w:r>
      <w:r>
        <w:rPr>
          <w:rFonts w:ascii="Arial" w:hAnsi="Arial"/>
          <w:sz w:val="22"/>
        </w:rPr>
        <w:t xml:space="preserve"> A continuously updated Retrieval-Augmented Generation (RAG) knowledge base securely connected to a 1536-dimensional Pinecone vector database. This infrastructure forces all conversational responses to be explicitly grounded in verified African financial regulations, localized tax policies, and region-specific SME guidance, delivering explainable outputs backed by verifiable citations.</w:t>
      </w:r>
    </w:p>
    <w:p>
      <w:pPr>
        <w:pStyle w:val="ListBullet"/>
        <w:spacing w:after="120"/>
      </w:pPr>
      <w:r>
        <w:rPr>
          <w:rFonts w:ascii="Arial" w:hAnsi="Arial"/>
          <w:b/>
          <w:sz w:val="22"/>
        </w:rPr>
        <w:t>AI-Native Multi-Persona Experience:</w:t>
      </w:r>
      <w:r>
        <w:rPr>
          <w:rFonts w:ascii="Arial" w:hAnsi="Arial"/>
          <w:sz w:val="22"/>
        </w:rPr>
        <w:t xml:space="preserve"> Conversational workflows replace intimidating, text-heavy input forms, dramatically reducing friction and accessibility barriers. Delivered via a high-performance Python FastAPI backend supporting Server-Sent Events (SSE) streaming, the platform implements two explicit conversational agents: Kemi (Personal Finance Advisor) and Chidi (Business Mentor).</w:t>
      </w:r>
    </w:p>
    <w:p>
      <w:pPr>
        <w:pStyle w:val="ListBullet"/>
        <w:spacing w:after="120"/>
      </w:pPr>
      <w:r>
        <w:rPr>
          <w:rFonts w:ascii="Arial" w:hAnsi="Arial"/>
          <w:b/>
          <w:sz w:val="22"/>
        </w:rPr>
        <w:t>Adaptive Budgeting Engine:</w:t>
      </w:r>
      <w:r>
        <w:rPr>
          <w:rFonts w:ascii="Arial" w:hAnsi="Arial"/>
          <w:sz w:val="22"/>
        </w:rPr>
        <w:t xml:space="preserve"> Traditional finance applications rely on rigid, fixed monthly spending caps that fail freelancers and informal earners. Finwize addresses this structural gap through a built-in percentage-based adaptive budgeting algorithm that automatically scales limits relative to shifting income inputs, maintaining robust month-over-month rollover metrics.</w:t>
      </w:r>
    </w:p>
    <w:p>
      <w:pPr>
        <w:pStyle w:val="ListBullet"/>
        <w:spacing w:after="120"/>
      </w:pPr>
      <w:r>
        <w:rPr>
          <w:rFonts w:ascii="Arial" w:hAnsi="Arial"/>
          <w:b/>
          <w:sz w:val="22"/>
        </w:rPr>
        <w:t>Fully Converged Modular Platform:</w:t>
      </w:r>
      <w:r>
        <w:rPr>
          <w:rFonts w:ascii="Arial" w:hAnsi="Arial"/>
          <w:sz w:val="22"/>
        </w:rPr>
        <w:t xml:space="preserve"> Personal finance tracking, interactive SME task and invoice management, gamified financial education (4 distinct tracks with integrated automated quizzes, streaks, and award badges), and a programmatic AI business plan generator are unified under a single cross-surface client interface (21 React web pages for deep desk work and 18 lightweight Flutter mobile screens).</w:t>
      </w:r>
    </w:p>
    <w:p>
      <w:pPr>
        <w:pStyle w:val="ListBullet"/>
        <w:spacing w:after="120"/>
      </w:pPr>
      <w:r>
        <w:rPr>
          <w:rFonts w:ascii="Arial" w:hAnsi="Arial"/>
          <w:b/>
          <w:sz w:val="22"/>
        </w:rPr>
        <w:t>Data and Compute Operational Efficiency:</w:t>
      </w:r>
      <w:r>
        <w:rPr>
          <w:rFonts w:ascii="Arial" w:hAnsi="Arial"/>
          <w:sz w:val="22"/>
        </w:rPr>
        <w:t xml:space="preserve"> Engineered directly for low-bandwidth environments and limited user data budgets. The Flutter Android client is stripped down to an ultra-lean 7.1 MB APK. Compute costs are structurally constrained by routing all repetitive regulatory and general informational queries through an aggressive Redis caching tier, paired with an open-source Token Budget Management framework on OpenRouter (utilizing fast, optimized engines like GPT-4o-mini and Claude Haiku) to keep individual thread interaction costs strictly under $0.05.</w:t>
      </w:r>
    </w:p>
    <w:p>
      <w:pPr>
        <w:pStyle w:val="ListBullet"/>
        <w:spacing w:after="120"/>
      </w:pPr>
      <w:r>
        <w:rPr>
          <w:rFonts w:ascii="Arial" w:hAnsi="Arial"/>
          <w:b/>
          <w:sz w:val="22"/>
        </w:rPr>
        <w:t>Ecosystem Symbiosis Strategy:</w:t>
      </w:r>
      <w:r>
        <w:rPr>
          <w:rFonts w:ascii="Arial" w:hAnsi="Arial"/>
          <w:sz w:val="22"/>
        </w:rPr>
        <w:t xml:space="preserve"> Rather than expending capital competing directly with established commercial banks, settlement providers, or asset management applications, Finwize is architected as an intermediary platform-agnostic intelligence layer. This approach maximizes open banking frameworks and native integration hooks (such as built-in routers for Paystack and Flutterwave), creating immediate downstream channels for embedded finance, affiliate distribution, and co-branded enterprise partnerships.</w:t>
      </w:r>
    </w:p>
    <w:p>
      <w:pPr>
        <w:spacing w:after="240"/>
      </w:pPr>
    </w:p>
    <w:p>
      <w:pPr>
        <w:keepNext/>
        <w:spacing w:before="240" w:after="120"/>
      </w:pPr>
      <w:r>
        <w:rPr>
          <w:rFonts w:ascii="Arial" w:hAnsi="Arial"/>
          <w:b/>
          <w:color w:val="1A365D"/>
          <w:sz w:val="40"/>
        </w:rPr>
        <w:t>STRATEGIC POSITIONING STATEMENT</w:t>
      </w:r>
    </w:p>
    <w:p>
      <w:pPr>
        <w:spacing w:after="240"/>
      </w:pPr>
      <w:r>
        <w:rPr>
          <w:rFonts w:ascii="Arial" w:hAnsi="Arial"/>
          <w:sz w:val="22"/>
        </w:rPr>
        <w:t>Finwize is positioned as Africa's AI-powered Financial Intelligence Platform.</w:t>
        <w:br/>
        <w:br/>
        <w:t>Rather than competing solely as a budgeting application, digital bank, bookkeeping platform, or AI chatbot, Finwize integrates conversational AI, localized regulatory intelligence, financial education, SME advisory, and business productivity into a unified platform.</w:t>
        <w:br/>
        <w:br/>
        <w:t>This strategic positioning allows Finwize to complement existing financial institutions while addressing unmet needs in financial decision-making for individuals and small businesses across emerging African markets.</w:t>
        <w:br/>
        <w:br/>
        <w:t>This approach creates multiple pathways for sustainable growth through user acquisition, ecosystem partnerships, embedded finance, and value-added AI services, while establishing a differentiated position that is difficult for both traditional fintech providers and general-purpose AI platforms to replicate.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