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6B7280"/>
          <w:sz w:val="28"/>
          <w:szCs w:val="28"/>
        </w:rPr>
        <w:t xml:space="preserve">Propuesta técnica</w:t>
      </w:r>
    </w:p>
    <w:p>
      <w:pPr>
        <w:spacing w:after="80"/>
        <w:jc w:val="center"/>
      </w:pPr>
      <w:r>
        <w:rPr>
          <w:b/>
          <w:bCs/>
          <w:color w:val="1A3A6B"/>
          <w:sz w:val="52"/>
          <w:szCs w:val="52"/>
        </w:rPr>
        <w:t xml:space="preserve">Soporte multi-proveedor de WhatsApp</w:t>
      </w:r>
    </w:p>
    <w:p>
      <w:pPr>
        <w:spacing w:after="80"/>
        <w:jc w:val="center"/>
      </w:pPr>
      <w:r>
        <w:rPr>
          <w:color w:val="6B7280"/>
          <w:sz w:val="30"/>
          <w:szCs w:val="30"/>
        </w:rPr>
        <w:t xml:space="preserve">Incorporar Whapi.cloud junto a UltraMsg, con switch por tenant</w:t>
      </w:r>
    </w:p>
    <w:p>
      <w:pPr>
        <w:spacing w:after="80" w:before="240"/>
        <w:jc w:val="center"/>
      </w:pPr>
      <w:r>
        <w:rPr>
          <w:i/>
          <w:iCs/>
          <w:color w:val="6B7280"/>
          <w:sz w:val="24"/>
          <w:szCs w:val="24"/>
        </w:rPr>
        <w:t xml:space="preserve">Estrategia de implementación paralela, sin afectar producción</w:t>
      </w:r>
    </w:p>
    <w:p>
      <w:pPr>
        <w:spacing w:before="600"/>
        <w:jc w:val="center"/>
      </w:pPr>
      <w:r>
        <w:rPr>
          <w:color w:val="6B7280"/>
          <w:sz w:val="22"/>
          <w:szCs w:val="22"/>
        </w:rPr>
        <w:t xml:space="preserve">AgentFlow / TalkIA  ·  Junio 2026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before="0"/>
      </w:pPr>
      <w:r>
        <w:rPr>
          <w:b/>
          <w:bCs/>
        </w:rPr>
        <w:t xml:space="preserve">Objetivo: </w:t>
      </w:r>
      <w:r>
        <w:t xml:space="preserve">incorporar un segundo proveedor de WhatsApp (Whapi.cloud) a la plataforma, conservando UltraMsg, y permitiendo elegir el proveedor </w:t>
      </w:r>
      <w:r>
        <w:rPr>
          <w:b/>
          <w:bCs/>
        </w:rPr>
        <w:t xml:space="preserve">por cada tenant (corredor)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Hallazgo principal: </w:t>
      </w:r>
      <w:r>
        <w:t xml:space="preserve">la arquitectura ya está preparada en un ~60%. La capa de envío está abstraída tras la interfaz </w:t>
      </w:r>
      <w:r>
        <w:rPr>
          <w:i/>
          <w:iCs/>
        </w:rPr>
        <w:t xml:space="preserve">IChannelProvider</w:t>
      </w:r>
      <w:r>
        <w:t xml:space="preserve"> (usada por 12+ puntos del sistema) y la entidad de línea ya tiene el campo </w:t>
      </w:r>
      <w:r>
        <w:rPr>
          <w:i/>
          <w:iCs/>
        </w:rPr>
        <w:t xml:space="preserve">Provider</w:t>
      </w:r>
      <w:r>
        <w:t xml:space="preserve">. El “switch por tenant” ya existe como concepto en el modelo de datos.</w:t>
      </w:r>
    </w:p>
    <w:p>
      <w:pPr>
        <w:spacing w:after="120" w:before="0"/>
      </w:pPr>
      <w:r>
        <w:rPr>
          <w:b/>
          <w:bCs/>
        </w:rPr>
        <w:t xml:space="preserve">Conclusión: </w:t>
      </w:r>
      <w:r>
        <w:t xml:space="preserve">el trabajo puede hacerse de forma </w:t>
      </w:r>
      <w:r>
        <w:rPr>
          <w:b/>
          <w:bCs/>
        </w:rPr>
        <w:t xml:space="preserve">casi 100% aditiva</w:t>
      </w:r>
      <w:r>
        <w:t xml:space="preserve">. Un deploy a producción con el código de Whapi incluido </w:t>
      </w:r>
      <w:r>
        <w:rPr>
          <w:b/>
          <w:bCs/>
        </w:rPr>
        <w:t xml:space="preserve">no cambia el comportamiento actual de UltraMsg</w:t>
      </w:r>
      <w:r>
        <w:t xml:space="preserve">, porque el nuevo proveedor queda “dormido” hasta activarlo por dato. El rollback es un simple UPDATE en base de datos.</w:t>
      </w:r>
    </w:p>
    <w:p>
      <w:pPr>
        <w:spacing w:after="120" w:before="0"/>
      </w:pPr>
      <w:r>
        <w:rPr>
          <w:b/>
          <w:bCs/>
        </w:rPr>
        <w:t xml:space="preserve">Esfuerzo estimado: </w:t>
      </w:r>
      <w:r>
        <w:t xml:space="preserve">MVP funcional en ~4–5 días; versión completa (UI self-service, QR, media, salud) en ~2 a 2.5 semanas de trabajo enfocado.</w:t>
      </w:r>
    </w:p>
    <w:p>
      <w:pPr>
        <w:pStyle w:val="Heading1"/>
      </w:pPr>
      <w:r>
        <w:t xml:space="preserve">2. Estado actual de la arquitectura</w:t>
      </w:r>
    </w:p>
    <w:p>
      <w:pPr>
        <w:spacing w:after="120" w:before="0"/>
      </w:pPr>
      <w:r>
        <w:t xml:space="preserve">Lo que ya está resuelto y NO requiere trabajo: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360"/>
        <w:gridCol w:w="16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Pieza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Interfaz de envío IChannelProvider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Abstracta — 12+ puntos de envío (dispatcher, follow-ups, auto-close, respuesta humana, transfer-chat, monitor, watchdog) ya pasan por el factory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</w:rPr>
              <w:t xml:space="preserve">No se toca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Campo WhatsAppLine.Provider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 existe (enum ProviderType, persistido como string en BD)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</w:rPr>
              <w:t xml:space="preserve">No se toca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 ProviderType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Existe (UltraMsg, MetaCloudApi)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</w:rPr>
              <w:t xml:space="preserve">+ valor Whapi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 por proveedor en dispatcher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 existe 'if (line.Provider != UltraMsg)' para saltar el pre-check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</w:rPr>
              <w:t xml:space="preserve">Reutilizable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downstream (DispatchAsync, agente, monitor)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 es agnóstico al proveedor — recibe datos normalizados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</w:rPr>
              <w:t xml:space="preserve">No se toca</w:t>
            </w:r>
          </w:p>
        </w:tc>
      </w:tr>
    </w:tbl>
    <w:p>
      <w:pPr>
        <w:spacing w:after="200" w:before="0"/>
      </w:pPr>
      <w:r>
        <w:rPr>
          <w:b/>
          <w:bCs/>
        </w:rPr>
        <w:t xml:space="preserve">Implicación clave: </w:t>
      </w:r>
      <w:r>
        <w:t xml:space="preserve">cambiar un tenant de proveedor = cambiar el campo </w:t>
      </w:r>
      <w:r>
        <w:rPr>
          <w:i/>
          <w:iCs/>
        </w:rPr>
        <w:t xml:space="preserve">Provider</w:t>
      </w:r>
      <w:r>
        <w:t xml:space="preserve"> + credenciales de su línea. Incluso es posible tener SOMOS en UltraMsg y PASESA en Whapi al mismo tiempo, sin tocar código.</w:t>
      </w:r>
    </w:p>
    <w:p>
      <w:pPr>
        <w:pStyle w:val="Heading1"/>
      </w:pPr>
      <w:r>
        <w:t xml:space="preserve">3. Principio de diseño: implementación paralela “dormida”</w:t>
      </w:r>
    </w:p>
    <w:p>
      <w:pPr>
        <w:spacing w:after="120" w:before="0"/>
      </w:pPr>
      <w:r>
        <w:t xml:space="preserve">Hoy todas las líneas en base de datos tienen </w:t>
      </w:r>
      <w:r>
        <w:rPr>
          <w:i/>
          <w:iCs/>
        </w:rPr>
        <w:t xml:space="preserve">Provider = UltraMsg</w:t>
      </w:r>
      <w:r>
        <w:t xml:space="preserve">. Si toda rama nueva se construye de modo que “cuando NO es Whapi se comporta exactamente como hoy”, entonces el código de Whapi queda </w:t>
      </w:r>
      <w:r>
        <w:rPr>
          <w:b/>
          <w:bCs/>
        </w:rPr>
        <w:t xml:space="preserve">inactivo en producción</w:t>
      </w:r>
      <w:r>
        <w:t xml:space="preserve"> hasta que se cambie manualmente una línea a Whapi.</w:t>
      </w:r>
    </w:p>
    <w:p>
      <w:pPr>
        <w:spacing w:after="200" w:before="0"/>
      </w:pPr>
      <w:r>
        <w:t xml:space="preserve">Esto es el patrón </w:t>
      </w:r>
      <w:r>
        <w:rPr>
          <w:b/>
          <w:bCs/>
        </w:rPr>
        <w:t xml:space="preserve">Strangler / implementación paralela</w:t>
      </w:r>
      <w:r>
        <w:t xml:space="preserve">: el proveedor nuevo convive junto al existente, </w:t>
      </w:r>
      <w:r>
        <w:rPr>
          <w:b/>
          <w:bCs/>
        </w:rPr>
        <w:t xml:space="preserve">gateado por el campo Provider</w:t>
      </w:r>
      <w:r>
        <w:t xml:space="preserve">, sin alterar el camino que ya funciona. Deployar el build no activa nada por sí mismo.</w:t>
      </w:r>
    </w:p>
    <w:p>
      <w:pPr>
        <w:pStyle w:val="Heading1"/>
      </w:pPr>
      <w:r>
        <w:t xml:space="preserve">4. Clasificación del trabajo por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4250"/>
        <w:gridCol w:w="2560"/>
      </w:tblGrid>
      <w:tr>
        <w:trPr>
          <w:tblHeader/>
        </w:trP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Paquetes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Riesgo para UltraMsg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Archivos NUEVOS</w:t>
            </w:r>
          </w:p>
        </w:tc>
        <w:tc>
          <w:tcPr>
            <w:tcW w:type="dxa" w:w="4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WhapiProvider, WhapiInstanceService, endpoint /api/webhooks/whapi + normalizador, registro DI nuevo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B34"/>
              </w:rPr>
              <w:t xml:space="preserve">Nulo — no se importa ni ejecuta desde el flujo UltraMsg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Branch ADITIVO en archivo compartido</w:t>
            </w:r>
          </w:p>
        </w:tc>
        <w:tc>
          <w:tcPr>
            <w:tcW w:type="dxa" w:w="4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Factory de envío, call-sites de gestión de instancia, validador de número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2400E"/>
              </w:rPr>
              <w:t xml:space="preserve">Bajo — se agrega 'case Whapi'; el 'case UltraMsg' queda idéntico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Datos</w:t>
            </w:r>
          </w:p>
        </w:tc>
        <w:tc>
          <w:tcPr>
            <w:tcW w:type="dxa" w:w="4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Columnas nuevas opcionales (nullable, default)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B34"/>
              </w:rPr>
              <w:t xml:space="preserve">Nulo — las filas existentes no cambian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4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Selector de proveedor + campos de credenciales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B34"/>
              </w:rPr>
              <w:t xml:space="preserve">Nulo — las líneas UltraMsg siguen igual</w:t>
            </w:r>
          </w:p>
        </w:tc>
      </w:tr>
    </w:tbl>
    <w:p>
      <w:pPr>
        <w:pStyle w:val="Heading1"/>
      </w:pPr>
      <w:r>
        <w:t xml:space="preserve">5. Los únicos 3 puntos compartidos que se modifican</w:t>
      </w:r>
    </w:p>
    <w:p>
      <w:pPr>
        <w:spacing w:after="120" w:before="0"/>
      </w:pPr>
      <w:r>
        <w:t xml:space="preserve">Y cómo tocarlos sin riesgo (el path UltraMsg no se reescribe, se mueve tal cual a un 'case'):</w:t>
      </w:r>
    </w:p>
    <w:p>
      <w:pPr>
        <w:pStyle w:val="Heading2"/>
      </w:pPr>
      <w:r>
        <w:t xml:space="preserve">5.1 ChannelProviderFactory (envío)</w:t>
      </w:r>
    </w:p>
    <w:p>
      <w:pPr>
        <w:spacing w:after="120" w:before="0"/>
      </w:pPr>
      <w:r>
        <w:t xml:space="preserve">Hoy está hardcodeado a UltraMsg. Se convierte en: si Provider = UltraMsg → UltraMsgProvider (mismo código de hoy); si Whapi → WhapiProvider. El camino UltraMsg </w:t>
      </w:r>
      <w:r>
        <w:rPr>
          <w:b/>
          <w:bCs/>
        </w:rPr>
        <w:t xml:space="preserve">se mueve sin modificarse</w:t>
      </w:r>
      <w:r>
        <w:t xml:space="preserve">.</w:t>
      </w:r>
    </w:p>
    <w:p>
      <w:pPr>
        <w:pStyle w:val="Heading2"/>
      </w:pPr>
      <w:r>
        <w:t xml:space="preserve">5.2 Gestión de instancia (estado / QR / logout)</w:t>
      </w:r>
    </w:p>
    <w:p>
      <w:pPr>
        <w:spacing w:after="120" w:before="0"/>
      </w:pPr>
      <w:r>
        <w:t xml:space="preserve">Usada por health-check diario, pre-check del dispatcher y la UI. </w:t>
      </w:r>
      <w:r>
        <w:rPr>
          <w:b/>
          <w:bCs/>
        </w:rPr>
        <w:t xml:space="preserve">Recomendación: NO refactorizar IUltraMsgInstanceService</w:t>
      </w:r>
      <w:r>
        <w:t xml:space="preserve">. Agregar WhapiInstanceService nuevo y un branch por proveedor solo en los ~3 call-sites. El servicio UltraMsg queda intacto.</w:t>
      </w:r>
    </w:p>
    <w:p>
      <w:pPr>
        <w:pStyle w:val="Heading2"/>
      </w:pPr>
      <w:r>
        <w:t xml:space="preserve">5.3 Validador de número (/contacts/check)</w:t>
      </w:r>
    </w:p>
    <w:p>
      <w:pPr>
        <w:spacing w:after="200" w:before="0"/>
      </w:pPr>
      <w:r>
        <w:t xml:space="preserve">Branch por proveedor, o directamente </w:t>
      </w:r>
      <w:r>
        <w:rPr>
          <w:b/>
          <w:bCs/>
        </w:rPr>
        <w:t xml:space="preserve">saltar el pre-check para Whapi</w:t>
      </w:r>
      <w:r>
        <w:t xml:space="preserve"> (como ya se hace con Meta). El camino UltraMsg no se altera.</w:t>
      </w:r>
    </w:p>
    <w:p>
      <w:pPr>
        <w:pStyle w:val="Heading1"/>
      </w:pPr>
      <w:r>
        <w:t xml:space="preserve">6. Plan de implementación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540"/>
        <w:gridCol w:w="3400"/>
        <w:gridCol w:w="180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Paquete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implica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Esfuerzo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Switch en el Factory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Branch por line.Provider; mover el código UltraMsg al 'case' sin tocarlo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día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WhapiProvider (envío)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Implementar IChannelProvider: texto/imagen/documento + interpretar respuesta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día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Gestión de instancia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WhapiInstanceService (estado/QR/restart/logout) + branch en call-sites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 días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Validación de número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Abstraer o saltar /contacts/check para Whapi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día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Webhook de ENTRADA (la parte pesada)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 /api/webhooks/whapi + normalizador del esquema Whapi (messages[], statuses[]) al DispatchAsync interno + 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 días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datos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Columnas opcionales (channel-id, secreto webhook) vía guard idempotente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día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Selector de proveedor, credenciales, flujo de QR, URL de webhook, badges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días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 / config / firma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Registrar WhapiProvider + HttpClient nombrado + validación de firma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día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Pruebas E2E + deploy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Probar ambos proveedores en paralelo, deploy Worker+API, tenant piloto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días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MVP funcional </w:t>
      </w:r>
      <w:r>
        <w:t xml:space="preserve">(envío + recepción de texto, credenciales por BD, sin QR self-service): </w:t>
      </w:r>
      <w:r>
        <w:rPr>
          <w:b/>
          <w:bCs/>
        </w:rPr>
        <w:t xml:space="preserve">~4–5 días</w:t>
      </w:r>
      <w:r>
        <w:t xml:space="preserve"> (A, B, E reducido, F, H).</w:t>
      </w:r>
    </w:p>
    <w:p>
      <w:pPr>
        <w:spacing w:after="200" w:before="0"/>
      </w:pPr>
      <w:r>
        <w:rPr>
          <w:b/>
          <w:bCs/>
        </w:rPr>
        <w:t xml:space="preserve">Versión completa </w:t>
      </w:r>
      <w:r>
        <w:t xml:space="preserve">(UI self-service, QR, media, validación de número, health unificado): </w:t>
      </w:r>
      <w:r>
        <w:rPr>
          <w:b/>
          <w:bCs/>
        </w:rPr>
        <w:t xml:space="preserve">~11–12 días ≈ 2 a 2.5 semanas</w:t>
      </w:r>
      <w:r>
        <w:t xml:space="preserve">.</w:t>
      </w:r>
    </w:p>
    <w:p>
      <w:pPr>
        <w:pStyle w:val="Heading1"/>
      </w:pPr>
      <w:r>
        <w:t xml:space="preserve">7. Estrategia de deploy y rollback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Deploy: </w:t>
      </w:r>
      <w:r>
        <w:t xml:space="preserve">subir Worker + API con el código nuevo. Como no hay ninguna línea con Provider = Whapi, producción se comporta idéntico a hoy. SOMOS, PASESA y AFTA siguen en UltraMsg sin enterarse.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Activación controlada: </w:t>
      </w:r>
      <w:r>
        <w:t xml:space="preserve">crear una línea Whapi en un tenant piloto de prueba (no SOMOS/PASESA), registrar el webhook de Whapi apuntando a /api/webhooks/whapi y probar en aislamiento.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Rollback instantáneo: </w:t>
      </w:r>
      <w:r>
        <w:t xml:space="preserve">si algo falla, cambiar esa línea de vuelta a UltraMsg con un UPDATE — sin redeploy. El binario previo tampoco rompe nada porque las líneas Whapi simplemente quedan sin proveedor (fail-safe: log y no envía, sin tumbar el proceso).</w:t>
      </w:r>
    </w:p>
    <w:p>
      <w:pPr>
        <w:pStyle w:val="Heading1"/>
      </w:pPr>
      <w:r>
        <w:t xml:space="preserve">8. Matriz de riesgo y mitigación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5000"/>
      </w:tblGrid>
      <w:tr>
        <w:trPr>
          <w:tblHeader/>
        </w:trP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Mitigación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 bug en la lógica del branch del factory podría afectar el path UltraMsg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Mover el código UltraMsg al 'case' sin modificarlo; code review enfocado solo en eso. El “dormido hasta activar” hace que un bug en el case Whapi no se dispare para tenants UltraMsg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webhook nuevo comparte DispatchAsync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Ese método ya recibe datos normalizados y es agnóstico al proveedor hoy — no se modifica, solo se invoca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Migración de columnas en BD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columnas nullable con default, vía el guard idempotente ya usado (no altera filas existentes)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Onboarding/QR de Whapi difiere de UltraMsg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Definir si el QR es self-service en la UI o manual al dar de alta el tenant (mueve el estimado del frontend)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Descarga de media de Whapi requiere bearer token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webhook debe pasar Authorization según el proveedor (UltraMsg usa URL pública)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Mapeo de ACKs de entrega (delivered/read/failed)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Normalizar el modelo de estados de Whapi al interno; afecta reportes de campaña</w:t>
            </w:r>
          </w:p>
        </w:tc>
      </w:tr>
    </w:tbl>
    <w:p>
      <w:pPr>
        <w:pStyle w:val="Heading1"/>
      </w:pPr>
      <w:r>
        <w:t xml:space="preserve">9. Decisiones a cerrar antes de iniciar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Flujo de alta de Whapi: ¿QR self-service en la UI, o configuración manual por administrador? (impacta el esfuerzo de frontend)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¿El MVP incluye media (imágenes/documentos/audio) o solo texto en la primera entrega?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¿Se mantiene el pre-check de número en Whapi o se omite (como con Meta)?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Tenant piloto para la primera activación (NO debe ser SOMOS ni PASESA).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Método de validación de firma del webhook entrante de Whapi.</w:t>
      </w:r>
    </w:p>
    <w:p>
      <w:pPr>
        <w:pStyle w:val="Heading1"/>
      </w:pPr>
      <w:r>
        <w:t xml:space="preserve">10. Conclusión y recomendación</w:t>
      </w:r>
    </w:p>
    <w:p>
      <w:pPr>
        <w:spacing w:after="120" w:before="0"/>
      </w:pPr>
      <w:r>
        <w:t xml:space="preserve">Se puede avanzar con Whapi como una </w:t>
      </w:r>
      <w:r>
        <w:rPr>
          <w:b/>
          <w:bCs/>
        </w:rPr>
        <w:t xml:space="preserve">capa paralela, dormida, activable por dato (Provider), con rollback por un simple UPDATE</w:t>
      </w:r>
      <w:r>
        <w:t xml:space="preserve">. El riesgo para UltraMsg en producción es muy bajo porque: (1) ~70% del trabajo son archivos nuevos de impacto nulo; (2) lo compartido son branches aditivos que preservan UltraMsg idéntico; (3) nada se activa hasta flipear una línea a Whapi.</w:t>
      </w:r>
    </w:p>
    <w:p>
      <w:pPr>
        <w:spacing w:after="120" w:before="0"/>
      </w:pPr>
      <w:r>
        <w:rPr>
          <w:b/>
          <w:bCs/>
        </w:rPr>
        <w:t xml:space="preserve">Recomendación firme: </w:t>
      </w:r>
      <w:r>
        <w:t xml:space="preserve">no convertir la gestión de instancia en un refactor grande — hacerla aditiva (servicio nuevo + branch en call-sites), no reescribir la abstracción existente. Eso mantiene el blast radius al mínimo.</w:t>
      </w:r>
    </w:p>
    <w:p>
      <w:pPr>
        <w:spacing w:after="120" w:before="0"/>
      </w:pPr>
      <w:r>
        <w:rPr>
          <w:b/>
          <w:bCs/>
        </w:rPr>
        <w:t xml:space="preserve">Siguiente paso sugerido: </w:t>
      </w:r>
      <w:r>
        <w:t xml:space="preserve">aprobar el alcance del MVP (paquetes A, B, E, F, H) y elegir el tenant piloto para iniciar la implementación.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2026-06-02T12:57:42.862Z</dcterms:created>
  <dcterms:modified xsi:type="dcterms:W3CDTF">2026-06-02T12:57:42.866Z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