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3ED04" w14:textId="176EBA92" w:rsidR="00912769" w:rsidRPr="00912769" w:rsidRDefault="00912769" w:rsidP="007C263F">
      <w:pPr>
        <w:spacing w:line="360" w:lineRule="auto"/>
        <w:jc w:val="both"/>
        <w:rPr>
          <w:b/>
          <w:bCs/>
          <w:i/>
          <w:iCs/>
        </w:rPr>
      </w:pPr>
      <w:r w:rsidRPr="00912769">
        <w:rPr>
          <w:b/>
          <w:bCs/>
          <w:i/>
          <w:iCs/>
        </w:rPr>
        <w:t>Análisis de la composición de la EPH</w:t>
      </w:r>
    </w:p>
    <w:p w14:paraId="6EC98468" w14:textId="0BCA4D4B" w:rsidR="00912769" w:rsidRDefault="00912769" w:rsidP="00F97FFA">
      <w:pPr>
        <w:spacing w:line="360" w:lineRule="auto"/>
        <w:ind w:firstLine="708"/>
        <w:jc w:val="both"/>
      </w:pPr>
      <w:r>
        <w:t xml:space="preserve">La base de datos para la provincia de Tucumán no contaba con observaciones de ingresos menores a cero. Respecto a las edades, sí observamos que la variable contenía valores numéricos enteros para todo el rango de observaciones excepto para los bebés menores a 1 año. En cuanto al tratamiento de estas observaciones optamos por dejarlas fuera del análisis, ya que, por un </w:t>
      </w:r>
      <w:proofErr w:type="gramStart"/>
      <w:r>
        <w:t>lado</w:t>
      </w:r>
      <w:proofErr w:type="gramEnd"/>
      <w:r>
        <w:t xml:space="preserve"> representaban un porcentaje bajo en la muestra y por otro, debido a que el foco lo poníamos en personas en edad de trabajar, eliminarlos no constituía un problema a los fines de este trabajo.</w:t>
      </w:r>
    </w:p>
    <w:p w14:paraId="75B86FCD" w14:textId="744DFC00" w:rsidR="0086591C" w:rsidRDefault="0086591C" w:rsidP="00F97FFA">
      <w:pPr>
        <w:spacing w:line="360" w:lineRule="auto"/>
        <w:ind w:firstLine="708"/>
        <w:jc w:val="both"/>
      </w:pPr>
      <w:r>
        <w:t xml:space="preserve">La EPH del </w:t>
      </w:r>
      <w:r w:rsidR="007C263F">
        <w:t xml:space="preserve">primer trimestre para el </w:t>
      </w:r>
      <w:r>
        <w:t>año 2004 estuvo compuesta por 1</w:t>
      </w:r>
      <w:r w:rsidR="007C263F">
        <w:t>.</w:t>
      </w:r>
      <w:r>
        <w:t>224 varones y 1</w:t>
      </w:r>
      <w:r w:rsidR="007C263F">
        <w:t>.</w:t>
      </w:r>
      <w:r>
        <w:t>323 mujeres</w:t>
      </w:r>
      <w:r w:rsidR="00912769">
        <w:t xml:space="preserve"> para el Gran Tucumán y Tafí Viejo</w:t>
      </w:r>
      <w:r>
        <w:t>, sumando un total de 2</w:t>
      </w:r>
      <w:r w:rsidR="007C263F">
        <w:t>.</w:t>
      </w:r>
      <w:r>
        <w:t>547 observaciones</w:t>
      </w:r>
      <w:r w:rsidR="007C263F">
        <w:t>, mientras que la EPH para el</w:t>
      </w:r>
      <w:r w:rsidR="00912769">
        <w:t xml:space="preserve"> </w:t>
      </w:r>
      <w:r w:rsidR="00912769">
        <w:t>Gran Tucumán y Tafí Viejo</w:t>
      </w:r>
      <w:r w:rsidR="00912769">
        <w:t xml:space="preserve"> del</w:t>
      </w:r>
      <w:r w:rsidR="007C263F">
        <w:t xml:space="preserve"> primer trimestre del </w:t>
      </w:r>
      <w:r w:rsidR="00912769">
        <w:t>2024</w:t>
      </w:r>
      <w:r w:rsidR="007C263F">
        <w:t xml:space="preserve"> está conformada por 2.098 personas, de las cuales 1.103 son mujeres y 995 son </w:t>
      </w:r>
      <w:r w:rsidR="00912769">
        <w:t>varones</w:t>
      </w:r>
      <w:r w:rsidR="007C263F">
        <w:t xml:space="preserve">. </w:t>
      </w:r>
      <w:r>
        <w:t xml:space="preserve">En </w:t>
      </w:r>
      <w:r w:rsidR="007C263F">
        <w:t>la encuesta del primer trimestre</w:t>
      </w:r>
      <w:r>
        <w:t xml:space="preserve"> de 2004 las mujeres representaron </w:t>
      </w:r>
      <w:r w:rsidR="007C263F">
        <w:t xml:space="preserve">aproximadamente </w:t>
      </w:r>
      <w:r>
        <w:t>el 52% de la muestra</w:t>
      </w:r>
      <w:r w:rsidR="007C263F">
        <w:t xml:space="preserve"> mientras que</w:t>
      </w:r>
      <w:r>
        <w:t xml:space="preserve"> los </w:t>
      </w:r>
      <w:r w:rsidR="00912769">
        <w:t>varones</w:t>
      </w:r>
      <w:r>
        <w:t xml:space="preserve"> </w:t>
      </w:r>
      <w:r w:rsidR="007C263F">
        <w:t xml:space="preserve">representaron </w:t>
      </w:r>
      <w:r>
        <w:t>el 48% restante.</w:t>
      </w:r>
      <w:r w:rsidR="007C263F">
        <w:t xml:space="preserve"> En la encuesta del primer trimestre </w:t>
      </w:r>
      <w:r w:rsidR="00912769">
        <w:t>del</w:t>
      </w:r>
      <w:r w:rsidR="007C263F">
        <w:t xml:space="preserve"> año </w:t>
      </w:r>
      <w:r w:rsidR="00912769">
        <w:t xml:space="preserve">actual, </w:t>
      </w:r>
      <w:r w:rsidR="007C263F">
        <w:t>ambos sexos tuvieron una representación porcentual idéntica a</w:t>
      </w:r>
      <w:r w:rsidR="00912769">
        <w:t xml:space="preserve"> la calculada para el período de comparación (primer trimestre 2004). </w:t>
      </w:r>
    </w:p>
    <w:p w14:paraId="761A5CFD" w14:textId="1B3C1F16" w:rsidR="00912769" w:rsidRDefault="00912769" w:rsidP="007C263F">
      <w:pPr>
        <w:spacing w:line="360" w:lineRule="auto"/>
        <w:jc w:val="both"/>
      </w:pPr>
      <w:r w:rsidRPr="00912769">
        <w:rPr>
          <w:u w:val="single"/>
        </w:rPr>
        <w:t>Gráfico</w:t>
      </w:r>
      <w:r>
        <w:rPr>
          <w:u w:val="single"/>
        </w:rPr>
        <w:t xml:space="preserve"> 1</w:t>
      </w:r>
      <w:r w:rsidRPr="00912769">
        <w:rPr>
          <w:u w:val="single"/>
        </w:rPr>
        <w:t>:</w:t>
      </w:r>
      <w:r>
        <w:t xml:space="preserve"> composición por sexo y año de la EPH para los primeros trimestres de los años 2004 y 2024.</w:t>
      </w:r>
    </w:p>
    <w:p w14:paraId="397C373B" w14:textId="1FFA1F9D" w:rsidR="0086591C" w:rsidRDefault="007C263F" w:rsidP="007C263F">
      <w:pPr>
        <w:spacing w:line="360" w:lineRule="auto"/>
        <w:jc w:val="center"/>
      </w:pPr>
      <w:r>
        <w:rPr>
          <w:noProof/>
        </w:rPr>
        <w:drawing>
          <wp:inline distT="0" distB="0" distL="0" distR="0" wp14:anchorId="098D2000" wp14:editId="652B7062">
            <wp:extent cx="4013200" cy="2947951"/>
            <wp:effectExtent l="0" t="0" r="6350" b="5080"/>
            <wp:docPr id="12184677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070" cy="2966220"/>
                    </a:xfrm>
                    <a:prstGeom prst="rect">
                      <a:avLst/>
                    </a:prstGeom>
                    <a:noFill/>
                  </pic:spPr>
                </pic:pic>
              </a:graphicData>
            </a:graphic>
          </wp:inline>
        </w:drawing>
      </w:r>
      <w:r>
        <w:rPr>
          <w:noProof/>
        </w:rPr>
        <w:drawing>
          <wp:inline distT="0" distB="0" distL="0" distR="0" wp14:anchorId="2D100E67" wp14:editId="58BB7601">
            <wp:extent cx="666750" cy="457200"/>
            <wp:effectExtent l="0" t="0" r="0" b="0"/>
            <wp:docPr id="19732815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910" cy="458681"/>
                    </a:xfrm>
                    <a:prstGeom prst="rect">
                      <a:avLst/>
                    </a:prstGeom>
                    <a:noFill/>
                  </pic:spPr>
                </pic:pic>
              </a:graphicData>
            </a:graphic>
          </wp:inline>
        </w:drawing>
      </w:r>
    </w:p>
    <w:p w14:paraId="3638E342" w14:textId="5107C59F" w:rsidR="00912769" w:rsidRPr="00912769" w:rsidRDefault="00912769" w:rsidP="00912769">
      <w:pPr>
        <w:spacing w:line="360" w:lineRule="auto"/>
        <w:jc w:val="center"/>
        <w:rPr>
          <w:sz w:val="20"/>
          <w:szCs w:val="20"/>
        </w:rPr>
      </w:pPr>
      <w:r w:rsidRPr="00912769">
        <w:rPr>
          <w:b/>
          <w:bCs/>
          <w:i/>
          <w:iCs/>
          <w:sz w:val="20"/>
          <w:szCs w:val="20"/>
        </w:rPr>
        <w:t>Fuente:</w:t>
      </w:r>
      <w:r w:rsidRPr="00912769">
        <w:rPr>
          <w:sz w:val="20"/>
          <w:szCs w:val="20"/>
        </w:rPr>
        <w:t xml:space="preserve"> elaboración propia a partir de los datos de las EPH (</w:t>
      </w:r>
      <w:proofErr w:type="spellStart"/>
      <w:r w:rsidRPr="00912769">
        <w:rPr>
          <w:sz w:val="20"/>
          <w:szCs w:val="20"/>
        </w:rPr>
        <w:t>Indec</w:t>
      </w:r>
      <w:proofErr w:type="spellEnd"/>
      <w:r w:rsidRPr="00912769">
        <w:rPr>
          <w:sz w:val="20"/>
          <w:szCs w:val="20"/>
        </w:rPr>
        <w:t>)</w:t>
      </w:r>
    </w:p>
    <w:p w14:paraId="04A4C01D" w14:textId="5CCE33DD" w:rsidR="00912769" w:rsidRDefault="00F97FFA" w:rsidP="00F97FFA">
      <w:pPr>
        <w:spacing w:line="360" w:lineRule="auto"/>
        <w:jc w:val="both"/>
      </w:pPr>
      <w:r>
        <w:lastRenderedPageBreak/>
        <w:t xml:space="preserve">En este trabajo realizamos una matriz de correlación utilizando datos para ambos años de la EPH (2004 y 2024) y las variables: años cumplidos (CH06), sexo (CH04), estado civil (CH07), cobertura médica (CH08), nivel educativo (NIVEL_ED), estado de actividad (ESTADO) y categoría de inactividad (CAT_INAC). </w:t>
      </w:r>
    </w:p>
    <w:p w14:paraId="03F5E71D" w14:textId="7CB3792A" w:rsidR="00912769" w:rsidRDefault="00F97FFA" w:rsidP="00912769">
      <w:pPr>
        <w:spacing w:line="360" w:lineRule="auto"/>
      </w:pPr>
      <w:r w:rsidRPr="00F97FFA">
        <w:rPr>
          <w:u w:val="single"/>
        </w:rPr>
        <w:t>Gráfico 2:</w:t>
      </w:r>
      <w:r>
        <w:t xml:space="preserve"> matriz de correlación entre las variables mencionadas previamente usando los datos relevados por la EPH para el primer trimestre de los años 2004 y 2024.</w:t>
      </w:r>
    </w:p>
    <w:p w14:paraId="350BDD95" w14:textId="13C74AB3" w:rsidR="0086591C" w:rsidRDefault="0086591C" w:rsidP="0086591C">
      <w:pPr>
        <w:spacing w:line="360" w:lineRule="auto"/>
        <w:jc w:val="center"/>
      </w:pPr>
      <w:r>
        <w:rPr>
          <w:noProof/>
        </w:rPr>
        <w:drawing>
          <wp:inline distT="0" distB="0" distL="0" distR="0" wp14:anchorId="328C49D8" wp14:editId="21245975">
            <wp:extent cx="3673703" cy="3208502"/>
            <wp:effectExtent l="0" t="0" r="3175" b="0"/>
            <wp:docPr id="1291899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287" cy="3215126"/>
                    </a:xfrm>
                    <a:prstGeom prst="rect">
                      <a:avLst/>
                    </a:prstGeom>
                    <a:noFill/>
                  </pic:spPr>
                </pic:pic>
              </a:graphicData>
            </a:graphic>
          </wp:inline>
        </w:drawing>
      </w:r>
    </w:p>
    <w:p w14:paraId="1AD84D4B" w14:textId="77777777" w:rsidR="00F97FFA" w:rsidRPr="00912769" w:rsidRDefault="00F97FFA" w:rsidP="00F97FFA">
      <w:pPr>
        <w:spacing w:line="360" w:lineRule="auto"/>
        <w:jc w:val="center"/>
        <w:rPr>
          <w:sz w:val="20"/>
          <w:szCs w:val="20"/>
        </w:rPr>
      </w:pPr>
      <w:r w:rsidRPr="00912769">
        <w:rPr>
          <w:b/>
          <w:bCs/>
          <w:i/>
          <w:iCs/>
          <w:sz w:val="20"/>
          <w:szCs w:val="20"/>
        </w:rPr>
        <w:t>Fuente:</w:t>
      </w:r>
      <w:r w:rsidRPr="00912769">
        <w:rPr>
          <w:sz w:val="20"/>
          <w:szCs w:val="20"/>
        </w:rPr>
        <w:t xml:space="preserve"> elaboración propia a partir de los datos de las EPH (</w:t>
      </w:r>
      <w:proofErr w:type="spellStart"/>
      <w:r w:rsidRPr="00912769">
        <w:rPr>
          <w:sz w:val="20"/>
          <w:szCs w:val="20"/>
        </w:rPr>
        <w:t>Indec</w:t>
      </w:r>
      <w:proofErr w:type="spellEnd"/>
      <w:r w:rsidRPr="00912769">
        <w:rPr>
          <w:sz w:val="20"/>
          <w:szCs w:val="20"/>
        </w:rPr>
        <w:t>)</w:t>
      </w:r>
    </w:p>
    <w:p w14:paraId="7BEEFFCD" w14:textId="735D54BF" w:rsidR="00F97FFA" w:rsidRDefault="00F97FFA" w:rsidP="00F97FFA">
      <w:pPr>
        <w:spacing w:line="360" w:lineRule="auto"/>
        <w:ind w:firstLine="708"/>
        <w:jc w:val="both"/>
      </w:pPr>
      <w:r>
        <w:t xml:space="preserve">Las variables que están más fuertemente correlacionadas son la categoría de inactividad con el estado de actividad, esto de hecho se explica por construcción de las variables ya que una de las categorías de Estado es Inactivo. Es decir, conocer la variable Estado nos da mucha información sobre la categoría de inactividad de la persona. </w:t>
      </w:r>
    </w:p>
    <w:p w14:paraId="4A16986B" w14:textId="54AF7B22" w:rsidR="00F97FFA" w:rsidRDefault="00F97FFA" w:rsidP="00C66923">
      <w:pPr>
        <w:spacing w:line="360" w:lineRule="auto"/>
        <w:ind w:firstLine="708"/>
        <w:jc w:val="both"/>
      </w:pPr>
      <w:r>
        <w:t xml:space="preserve">Otras variables que tienen una correlación negativa bastante elevada son edad (CH04) y estado civil (CH07). </w:t>
      </w:r>
      <w:r w:rsidR="00EC12E0">
        <w:t xml:space="preserve">Entendemos que este coeficiente indica que cuanto menor es la persona, mayor es el número que toma la variable estado civil, ya que esta variable asigna el valor más alto de su rango (5) a las personas solteras. </w:t>
      </w:r>
    </w:p>
    <w:p w14:paraId="1D607BD9" w14:textId="7560C1F6" w:rsidR="00C66923" w:rsidRDefault="00C66923" w:rsidP="00C66923">
      <w:pPr>
        <w:spacing w:line="360" w:lineRule="auto"/>
        <w:ind w:firstLine="708"/>
        <w:jc w:val="both"/>
      </w:pPr>
      <w:r>
        <w:t xml:space="preserve">Conforme a las definiciones del </w:t>
      </w:r>
      <w:proofErr w:type="spellStart"/>
      <w:r>
        <w:t>Indec</w:t>
      </w:r>
      <w:proofErr w:type="spellEnd"/>
      <w:r>
        <w:t>, e</w:t>
      </w:r>
      <w:r w:rsidRPr="004270F1">
        <w:t xml:space="preserve">l grupo de los </w:t>
      </w:r>
      <w:r>
        <w:t>d</w:t>
      </w:r>
      <w:r w:rsidRPr="004270F1">
        <w:t>esocupados está co</w:t>
      </w:r>
      <w:r>
        <w:t>mpuesto</w:t>
      </w:r>
      <w:r w:rsidRPr="004270F1">
        <w:t xml:space="preserve"> por todas aquellas personas que sin tener trabajo se encuentren disponibles para trabajar y han buscado activamente una ocupación en </w:t>
      </w:r>
      <w:r>
        <w:t xml:space="preserve">un </w:t>
      </w:r>
      <w:r w:rsidRPr="004270F1">
        <w:t>período de referencia determinado.</w:t>
      </w:r>
    </w:p>
    <w:p w14:paraId="67EA8863" w14:textId="77777777" w:rsidR="00A93630" w:rsidRDefault="00863C83" w:rsidP="00A93630">
      <w:pPr>
        <w:spacing w:line="360" w:lineRule="auto"/>
        <w:jc w:val="both"/>
      </w:pPr>
      <w:r>
        <w:lastRenderedPageBreak/>
        <w:tab/>
        <w:t xml:space="preserve">Utilizamos la variable ESTADO que toma el valor 2 cuando la persona está desocupada y 3 cuando está inactiva. Encontramos </w:t>
      </w:r>
      <w:proofErr w:type="gramStart"/>
      <w:r>
        <w:t>que</w:t>
      </w:r>
      <w:proofErr w:type="gramEnd"/>
      <w:r>
        <w:t xml:space="preserve"> para el Gran Tucumán y Tafí Viejo, para el primer trimestre de 2004 habían </w:t>
      </w:r>
      <w:r w:rsidR="00A86DFC">
        <w:t>178 personas desocupadas y 973 personas inactivas. Mientras que</w:t>
      </w:r>
      <w:r w:rsidR="00053EBE">
        <w:t xml:space="preserve">, </w:t>
      </w:r>
      <w:r w:rsidR="00A86DFC">
        <w:t>para mismo aglomerado y trimestre, para el año 2024, el número de desocupados disminuyó a 81 (un 45% del valor que tomó en 2004) y el número de</w:t>
      </w:r>
      <w:r w:rsidR="00053EBE">
        <w:t xml:space="preserve"> personas</w:t>
      </w:r>
      <w:r w:rsidR="00A86DFC">
        <w:t xml:space="preserve"> inactiv</w:t>
      </w:r>
      <w:r w:rsidR="00053EBE">
        <w:t>a</w:t>
      </w:r>
      <w:r w:rsidR="00A86DFC">
        <w:t xml:space="preserve">s </w:t>
      </w:r>
      <w:r w:rsidR="00053EBE">
        <w:t>disminuyó</w:t>
      </w:r>
      <w:r w:rsidR="00A86DFC">
        <w:t xml:space="preserve"> a </w:t>
      </w:r>
      <w:r w:rsidR="00053EBE">
        <w:t xml:space="preserve">869. </w:t>
      </w:r>
    </w:p>
    <w:p w14:paraId="45B4936B" w14:textId="791413BB" w:rsidR="00C61D89" w:rsidRDefault="00C61D89" w:rsidP="00A93630">
      <w:pPr>
        <w:spacing w:line="360" w:lineRule="auto"/>
        <w:jc w:val="both"/>
      </w:pPr>
      <w:r w:rsidRPr="00C61D89">
        <w:rPr>
          <w:u w:val="single"/>
        </w:rPr>
        <w:t>Cuadro 1:</w:t>
      </w:r>
      <w:r>
        <w:t xml:space="preserve"> Ingreso medio en pesos por estado de actividad para las categorías desocupado, inactivo y ocupado. Datos EPH primer trimestre de 2004 y 2024. </w:t>
      </w:r>
    </w:p>
    <w:p w14:paraId="1CD2CA0E" w14:textId="206591EC" w:rsidR="00C61D89" w:rsidRDefault="00CD65F1" w:rsidP="00CD65F1">
      <w:pPr>
        <w:spacing w:line="360" w:lineRule="auto"/>
        <w:jc w:val="center"/>
      </w:pPr>
      <w:r w:rsidRPr="00CD65F1">
        <w:drawing>
          <wp:inline distT="0" distB="0" distL="0" distR="0" wp14:anchorId="6690F868" wp14:editId="59DDEE53">
            <wp:extent cx="1720850" cy="851733"/>
            <wp:effectExtent l="0" t="0" r="0" b="5715"/>
            <wp:docPr id="1268986444"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6444" name="Imagen 1" descr="Texto, Tabla&#10;&#10;Descripción generada automáticamente"/>
                    <pic:cNvPicPr/>
                  </pic:nvPicPr>
                  <pic:blipFill>
                    <a:blip r:embed="rId9"/>
                    <a:stretch>
                      <a:fillRect/>
                    </a:stretch>
                  </pic:blipFill>
                  <pic:spPr>
                    <a:xfrm>
                      <a:off x="0" y="0"/>
                      <a:ext cx="1729677" cy="856102"/>
                    </a:xfrm>
                    <a:prstGeom prst="rect">
                      <a:avLst/>
                    </a:prstGeom>
                  </pic:spPr>
                </pic:pic>
              </a:graphicData>
            </a:graphic>
          </wp:inline>
        </w:drawing>
      </w:r>
      <w:r>
        <w:br/>
      </w:r>
      <w:r w:rsidR="00C61D89" w:rsidRPr="00912769">
        <w:rPr>
          <w:b/>
          <w:bCs/>
          <w:i/>
          <w:iCs/>
          <w:sz w:val="20"/>
          <w:szCs w:val="20"/>
        </w:rPr>
        <w:t>Fuente:</w:t>
      </w:r>
      <w:r w:rsidR="00C61D89" w:rsidRPr="00912769">
        <w:rPr>
          <w:sz w:val="20"/>
          <w:szCs w:val="20"/>
        </w:rPr>
        <w:t xml:space="preserve"> elaboración propia a partir de los datos de las EPH (</w:t>
      </w:r>
      <w:proofErr w:type="spellStart"/>
      <w:r w:rsidR="00C61D89" w:rsidRPr="00912769">
        <w:rPr>
          <w:sz w:val="20"/>
          <w:szCs w:val="20"/>
        </w:rPr>
        <w:t>Indec</w:t>
      </w:r>
      <w:proofErr w:type="spellEnd"/>
      <w:r w:rsidR="00C61D89" w:rsidRPr="00912769">
        <w:rPr>
          <w:sz w:val="20"/>
          <w:szCs w:val="20"/>
        </w:rPr>
        <w:t>)</w:t>
      </w:r>
    </w:p>
    <w:p w14:paraId="75D097AB" w14:textId="77777777" w:rsidR="009A3211" w:rsidRDefault="00AE0BD3" w:rsidP="00AE0BD3">
      <w:pPr>
        <w:spacing w:line="360" w:lineRule="auto"/>
        <w:jc w:val="both"/>
      </w:pPr>
      <w:r>
        <w:t xml:space="preserve">Para el trimestre y los años analizados encontramos 10 observaciones que no respondieron a la pregunta sobre su estado de actividad, 6 de ellas en el año 2004 y las restantes 4 en el año 2024. </w:t>
      </w:r>
      <w:r w:rsidR="00C41614">
        <w:t xml:space="preserve"> Generamos el siguiente gráfico sólo con las observaciones que declararon un ESTADO. </w:t>
      </w:r>
    </w:p>
    <w:p w14:paraId="19CEAC14" w14:textId="526D9376" w:rsidR="00C61D89" w:rsidRDefault="00C41614" w:rsidP="00AE0BD3">
      <w:pPr>
        <w:spacing w:line="360" w:lineRule="auto"/>
        <w:jc w:val="both"/>
      </w:pPr>
      <w:r w:rsidRPr="009A3211">
        <w:rPr>
          <w:u w:val="single"/>
        </w:rPr>
        <w:t>Gráfico 3</w:t>
      </w:r>
      <w:r>
        <w:t>: composición</w:t>
      </w:r>
      <w:r w:rsidR="009A3211">
        <w:t xml:space="preserve"> por PEA para los años 2004 y 2024 usando los datos de la EPH.</w:t>
      </w:r>
    </w:p>
    <w:p w14:paraId="49879A8F" w14:textId="77777777" w:rsidR="009A3211" w:rsidRPr="00912769" w:rsidRDefault="009A3211" w:rsidP="009A3211">
      <w:pPr>
        <w:spacing w:line="360" w:lineRule="auto"/>
        <w:jc w:val="center"/>
        <w:rPr>
          <w:sz w:val="20"/>
          <w:szCs w:val="20"/>
        </w:rPr>
      </w:pPr>
      <w:r>
        <w:rPr>
          <w:noProof/>
        </w:rPr>
        <w:drawing>
          <wp:inline distT="0" distB="0" distL="0" distR="0" wp14:anchorId="7BE80511" wp14:editId="7A6AC1E6">
            <wp:extent cx="5326096" cy="3107055"/>
            <wp:effectExtent l="0" t="0" r="8255" b="0"/>
            <wp:docPr id="168074053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1371" cy="3110132"/>
                    </a:xfrm>
                    <a:prstGeom prst="rect">
                      <a:avLst/>
                    </a:prstGeom>
                    <a:noFill/>
                  </pic:spPr>
                </pic:pic>
              </a:graphicData>
            </a:graphic>
          </wp:inline>
        </w:drawing>
      </w:r>
      <w:r>
        <w:br/>
      </w:r>
      <w:r w:rsidRPr="00912769">
        <w:rPr>
          <w:b/>
          <w:bCs/>
          <w:i/>
          <w:iCs/>
          <w:sz w:val="20"/>
          <w:szCs w:val="20"/>
        </w:rPr>
        <w:t>Fuente:</w:t>
      </w:r>
      <w:r w:rsidRPr="00912769">
        <w:rPr>
          <w:sz w:val="20"/>
          <w:szCs w:val="20"/>
        </w:rPr>
        <w:t xml:space="preserve"> elaboración propia a partir de los datos de las EPH (</w:t>
      </w:r>
      <w:proofErr w:type="spellStart"/>
      <w:r w:rsidRPr="00912769">
        <w:rPr>
          <w:sz w:val="20"/>
          <w:szCs w:val="20"/>
        </w:rPr>
        <w:t>Indec</w:t>
      </w:r>
      <w:proofErr w:type="spellEnd"/>
      <w:r w:rsidRPr="00912769">
        <w:rPr>
          <w:sz w:val="20"/>
          <w:szCs w:val="20"/>
        </w:rPr>
        <w:t>)</w:t>
      </w:r>
    </w:p>
    <w:p w14:paraId="088997D4" w14:textId="77777777" w:rsidR="00437500" w:rsidRDefault="00437500" w:rsidP="009A3211">
      <w:pPr>
        <w:spacing w:line="360" w:lineRule="auto"/>
      </w:pPr>
    </w:p>
    <w:p w14:paraId="080C7E42" w14:textId="1B0E29FB" w:rsidR="00437500" w:rsidRDefault="00437500" w:rsidP="00437500">
      <w:pPr>
        <w:spacing w:line="360" w:lineRule="auto"/>
        <w:jc w:val="both"/>
      </w:pPr>
      <w:r w:rsidRPr="009A3211">
        <w:rPr>
          <w:u w:val="single"/>
        </w:rPr>
        <w:lastRenderedPageBreak/>
        <w:t xml:space="preserve">Gráfico </w:t>
      </w:r>
      <w:r>
        <w:rPr>
          <w:u w:val="single"/>
        </w:rPr>
        <w:t>4</w:t>
      </w:r>
      <w:r>
        <w:t>: composición por PE</w:t>
      </w:r>
      <w:r>
        <w:t>T</w:t>
      </w:r>
      <w:r>
        <w:t xml:space="preserve"> para los años 2004 y 2024 usando los datos de la EPH.</w:t>
      </w:r>
    </w:p>
    <w:p w14:paraId="31DA3AA8" w14:textId="69FEC2A2" w:rsidR="009A3211" w:rsidRDefault="00437500" w:rsidP="00437500">
      <w:pPr>
        <w:spacing w:line="360" w:lineRule="auto"/>
        <w:jc w:val="center"/>
        <w:rPr>
          <w:sz w:val="20"/>
          <w:szCs w:val="20"/>
        </w:rPr>
      </w:pPr>
      <w:r w:rsidRPr="00437500">
        <w:drawing>
          <wp:inline distT="0" distB="0" distL="0" distR="0" wp14:anchorId="69C92B87" wp14:editId="5F3A7D8A">
            <wp:extent cx="5400040" cy="3151505"/>
            <wp:effectExtent l="0" t="0" r="0" b="0"/>
            <wp:docPr id="214048074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80741" name="Imagen 1" descr="Gráfico, Gráfico de rectángulos&#10;&#10;Descripción generada automáticamente"/>
                    <pic:cNvPicPr/>
                  </pic:nvPicPr>
                  <pic:blipFill>
                    <a:blip r:embed="rId11"/>
                    <a:stretch>
                      <a:fillRect/>
                    </a:stretch>
                  </pic:blipFill>
                  <pic:spPr>
                    <a:xfrm>
                      <a:off x="0" y="0"/>
                      <a:ext cx="5400040" cy="3151505"/>
                    </a:xfrm>
                    <a:prstGeom prst="rect">
                      <a:avLst/>
                    </a:prstGeom>
                  </pic:spPr>
                </pic:pic>
              </a:graphicData>
            </a:graphic>
          </wp:inline>
        </w:drawing>
      </w:r>
      <w:r>
        <w:br/>
      </w:r>
      <w:r w:rsidRPr="00912769">
        <w:rPr>
          <w:b/>
          <w:bCs/>
          <w:i/>
          <w:iCs/>
          <w:sz w:val="20"/>
          <w:szCs w:val="20"/>
        </w:rPr>
        <w:t>Fuente:</w:t>
      </w:r>
      <w:r w:rsidRPr="00912769">
        <w:rPr>
          <w:sz w:val="20"/>
          <w:szCs w:val="20"/>
        </w:rPr>
        <w:t xml:space="preserve"> elaboración propia a partir de los datos de las EPH (</w:t>
      </w:r>
      <w:proofErr w:type="spellStart"/>
      <w:r w:rsidRPr="00912769">
        <w:rPr>
          <w:sz w:val="20"/>
          <w:szCs w:val="20"/>
        </w:rPr>
        <w:t>Indec</w:t>
      </w:r>
      <w:proofErr w:type="spellEnd"/>
      <w:r w:rsidRPr="00912769">
        <w:rPr>
          <w:sz w:val="20"/>
          <w:szCs w:val="20"/>
        </w:rPr>
        <w:t>)</w:t>
      </w:r>
    </w:p>
    <w:p w14:paraId="0BF3ECCE" w14:textId="33112046" w:rsidR="00437500" w:rsidRDefault="00437500" w:rsidP="00437500">
      <w:pPr>
        <w:spacing w:line="360" w:lineRule="auto"/>
        <w:jc w:val="both"/>
      </w:pPr>
      <w:r>
        <w:rPr>
          <w:sz w:val="20"/>
          <w:szCs w:val="20"/>
        </w:rPr>
        <w:t xml:space="preserve">Podemos ver que hay un porcentaje mayor en el grupo de personas en edad de trabajar (62% en el 2004 a 68,5% en el año 2024) que de personas económicamente activas en los años considerados (58,5% y 53% respectivamente). Esta brecha es menor para 2004 que para 2024. </w:t>
      </w:r>
    </w:p>
    <w:sectPr w:rsidR="00437500">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9BF3F" w14:textId="77777777" w:rsidR="001C1398" w:rsidRDefault="001C1398" w:rsidP="00912769">
      <w:pPr>
        <w:spacing w:after="0" w:line="240" w:lineRule="auto"/>
      </w:pPr>
      <w:r>
        <w:separator/>
      </w:r>
    </w:p>
  </w:endnote>
  <w:endnote w:type="continuationSeparator" w:id="0">
    <w:p w14:paraId="00EAF2CC" w14:textId="77777777" w:rsidR="001C1398" w:rsidRDefault="001C1398" w:rsidP="0091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02567" w14:textId="77777777" w:rsidR="001C1398" w:rsidRDefault="001C1398" w:rsidP="00912769">
      <w:pPr>
        <w:spacing w:after="0" w:line="240" w:lineRule="auto"/>
      </w:pPr>
      <w:r>
        <w:separator/>
      </w:r>
    </w:p>
  </w:footnote>
  <w:footnote w:type="continuationSeparator" w:id="0">
    <w:p w14:paraId="7A542784" w14:textId="77777777" w:rsidR="001C1398" w:rsidRDefault="001C1398" w:rsidP="00912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DE2C4" w14:textId="1F70C5A8" w:rsidR="00912769" w:rsidRDefault="00BE0413">
    <w:pPr>
      <w:pStyle w:val="Encabezado"/>
    </w:pPr>
    <w:r>
      <w:t>Trabajo Práctico 3. Big Data</w:t>
    </w:r>
    <w:r w:rsidR="00912769">
      <w:tab/>
    </w:r>
    <w:r w:rsidR="00912769">
      <w:tab/>
      <w:t>López José, Valdez Pilar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F1"/>
    <w:rsid w:val="00053EBE"/>
    <w:rsid w:val="001828E9"/>
    <w:rsid w:val="001C1398"/>
    <w:rsid w:val="00283A35"/>
    <w:rsid w:val="004261DE"/>
    <w:rsid w:val="004270F1"/>
    <w:rsid w:val="00437500"/>
    <w:rsid w:val="004F6DD4"/>
    <w:rsid w:val="0060605B"/>
    <w:rsid w:val="00684A56"/>
    <w:rsid w:val="007C263F"/>
    <w:rsid w:val="00863C83"/>
    <w:rsid w:val="0086591C"/>
    <w:rsid w:val="008D5754"/>
    <w:rsid w:val="00912769"/>
    <w:rsid w:val="009A3211"/>
    <w:rsid w:val="00A86DFC"/>
    <w:rsid w:val="00A93630"/>
    <w:rsid w:val="00AE0BD3"/>
    <w:rsid w:val="00BE0413"/>
    <w:rsid w:val="00C41614"/>
    <w:rsid w:val="00C61D89"/>
    <w:rsid w:val="00C66923"/>
    <w:rsid w:val="00CD65F1"/>
    <w:rsid w:val="00DE7BEF"/>
    <w:rsid w:val="00EC12E0"/>
    <w:rsid w:val="00F97F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E5A8"/>
  <w15:chartTrackingRefBased/>
  <w15:docId w15:val="{4D35EFA6-BE82-4ABF-87DA-8ACED5A5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7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0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0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0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0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0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0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0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0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70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0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0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0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0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0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0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0F1"/>
    <w:rPr>
      <w:rFonts w:eastAsiaTheme="majorEastAsia" w:cstheme="majorBidi"/>
      <w:color w:val="272727" w:themeColor="text1" w:themeTint="D8"/>
    </w:rPr>
  </w:style>
  <w:style w:type="paragraph" w:styleId="Ttulo">
    <w:name w:val="Title"/>
    <w:basedOn w:val="Normal"/>
    <w:next w:val="Normal"/>
    <w:link w:val="TtuloCar"/>
    <w:uiPriority w:val="10"/>
    <w:qFormat/>
    <w:rsid w:val="00427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0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0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0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0F1"/>
    <w:pPr>
      <w:spacing w:before="160"/>
      <w:jc w:val="center"/>
    </w:pPr>
    <w:rPr>
      <w:i/>
      <w:iCs/>
      <w:color w:val="404040" w:themeColor="text1" w:themeTint="BF"/>
    </w:rPr>
  </w:style>
  <w:style w:type="character" w:customStyle="1" w:styleId="CitaCar">
    <w:name w:val="Cita Car"/>
    <w:basedOn w:val="Fuentedeprrafopredeter"/>
    <w:link w:val="Cita"/>
    <w:uiPriority w:val="29"/>
    <w:rsid w:val="004270F1"/>
    <w:rPr>
      <w:i/>
      <w:iCs/>
      <w:color w:val="404040" w:themeColor="text1" w:themeTint="BF"/>
    </w:rPr>
  </w:style>
  <w:style w:type="paragraph" w:styleId="Prrafodelista">
    <w:name w:val="List Paragraph"/>
    <w:basedOn w:val="Normal"/>
    <w:uiPriority w:val="34"/>
    <w:qFormat/>
    <w:rsid w:val="004270F1"/>
    <w:pPr>
      <w:ind w:left="720"/>
      <w:contextualSpacing/>
    </w:pPr>
  </w:style>
  <w:style w:type="character" w:styleId="nfasisintenso">
    <w:name w:val="Intense Emphasis"/>
    <w:basedOn w:val="Fuentedeprrafopredeter"/>
    <w:uiPriority w:val="21"/>
    <w:qFormat/>
    <w:rsid w:val="004270F1"/>
    <w:rPr>
      <w:i/>
      <w:iCs/>
      <w:color w:val="0F4761" w:themeColor="accent1" w:themeShade="BF"/>
    </w:rPr>
  </w:style>
  <w:style w:type="paragraph" w:styleId="Citadestacada">
    <w:name w:val="Intense Quote"/>
    <w:basedOn w:val="Normal"/>
    <w:next w:val="Normal"/>
    <w:link w:val="CitadestacadaCar"/>
    <w:uiPriority w:val="30"/>
    <w:qFormat/>
    <w:rsid w:val="00427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0F1"/>
    <w:rPr>
      <w:i/>
      <w:iCs/>
      <w:color w:val="0F4761" w:themeColor="accent1" w:themeShade="BF"/>
    </w:rPr>
  </w:style>
  <w:style w:type="character" w:styleId="Referenciaintensa">
    <w:name w:val="Intense Reference"/>
    <w:basedOn w:val="Fuentedeprrafopredeter"/>
    <w:uiPriority w:val="32"/>
    <w:qFormat/>
    <w:rsid w:val="004270F1"/>
    <w:rPr>
      <w:b/>
      <w:bCs/>
      <w:smallCaps/>
      <w:color w:val="0F4761" w:themeColor="accent1" w:themeShade="BF"/>
      <w:spacing w:val="5"/>
    </w:rPr>
  </w:style>
  <w:style w:type="paragraph" w:styleId="Encabezado">
    <w:name w:val="header"/>
    <w:basedOn w:val="Normal"/>
    <w:link w:val="EncabezadoCar"/>
    <w:uiPriority w:val="99"/>
    <w:unhideWhenUsed/>
    <w:rsid w:val="009127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2769"/>
  </w:style>
  <w:style w:type="paragraph" w:styleId="Piedepgina">
    <w:name w:val="footer"/>
    <w:basedOn w:val="Normal"/>
    <w:link w:val="PiedepginaCar"/>
    <w:uiPriority w:val="99"/>
    <w:unhideWhenUsed/>
    <w:rsid w:val="009127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2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Valdez</dc:creator>
  <cp:keywords/>
  <dc:description/>
  <cp:lastModifiedBy>Pilar Valdez</cp:lastModifiedBy>
  <cp:revision>9</cp:revision>
  <dcterms:created xsi:type="dcterms:W3CDTF">2024-09-29T21:16:00Z</dcterms:created>
  <dcterms:modified xsi:type="dcterms:W3CDTF">2024-10-11T19:30:00Z</dcterms:modified>
</cp:coreProperties>
</file>