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96A" w:rsidRDefault="0083296A" w:rsidP="0083296A">
      <w:r>
        <w:t>Eric Colburn</w:t>
      </w:r>
    </w:p>
    <w:p w:rsidR="00DF4681" w:rsidRPr="0083296A" w:rsidRDefault="0083296A" w:rsidP="0083296A">
      <w:pPr>
        <w:pStyle w:val="Heading1"/>
        <w:jc w:val="center"/>
        <w:rPr>
          <w:color w:val="auto"/>
        </w:rPr>
      </w:pPr>
      <w:r w:rsidRPr="0083296A">
        <w:rPr>
          <w:color w:val="auto"/>
        </w:rPr>
        <w:t>Kickstart my Chart Homework</w:t>
      </w:r>
    </w:p>
    <w:p w:rsidR="0083296A" w:rsidRDefault="0083296A" w:rsidP="0083296A"/>
    <w:p w:rsidR="0083296A" w:rsidRDefault="0083296A" w:rsidP="0083296A">
      <w:r>
        <w:t>Kickstarters with the category of music have the best success rate at 77%. Conversely, out of the categories where at least one campaign has been successful, food kickstarters have the least likely chance for success at 17%.</w:t>
      </w:r>
    </w:p>
    <w:p w:rsidR="0083296A" w:rsidRDefault="00D508F2" w:rsidP="0083296A">
      <w:pPr>
        <w:jc w:val="center"/>
      </w:pPr>
      <w:r>
        <w:rPr>
          <w:noProof/>
        </w:rPr>
        <w:drawing>
          <wp:inline distT="0" distB="0" distL="0" distR="0" wp14:anchorId="23B9ABCB">
            <wp:extent cx="4584700" cy="27559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83296A" w:rsidRDefault="0083296A" w:rsidP="0083296A"/>
    <w:p w:rsidR="0083296A" w:rsidRDefault="003E1E34" w:rsidP="0083296A">
      <w:r>
        <w:t>The least successful month for kickstarters is in December</w:t>
      </w:r>
      <w:r w:rsidR="0072649A">
        <w:t xml:space="preserve"> with a success rate of 44%</w:t>
      </w:r>
      <w:r>
        <w:t xml:space="preserve">. This is also the month with the least amount of </w:t>
      </w:r>
      <w:r w:rsidR="0072649A">
        <w:t>total kickstarters. It is the only month that there are more failed kickstarters than successful ones. More research will be needed to find out the cause of this, but for now, avoiding December as the month to start the kickstarter is a good idea.</w:t>
      </w:r>
    </w:p>
    <w:p w:rsidR="0072649A" w:rsidRDefault="00D508F2" w:rsidP="0072649A">
      <w:pPr>
        <w:jc w:val="center"/>
      </w:pPr>
      <w:r>
        <w:rPr>
          <w:noProof/>
        </w:rPr>
        <w:drawing>
          <wp:inline distT="0" distB="0" distL="0" distR="0" wp14:anchorId="3CF50846">
            <wp:extent cx="4304030" cy="25850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4030" cy="2585085"/>
                    </a:xfrm>
                    <a:prstGeom prst="rect">
                      <a:avLst/>
                    </a:prstGeom>
                    <a:noFill/>
                  </pic:spPr>
                </pic:pic>
              </a:graphicData>
            </a:graphic>
          </wp:inline>
        </w:drawing>
      </w:r>
    </w:p>
    <w:p w:rsidR="0072649A" w:rsidRDefault="00D349E8" w:rsidP="00D349E8">
      <w:r>
        <w:lastRenderedPageBreak/>
        <w:t xml:space="preserve">As the goal amount increases, the success rate decreases and the cancel rate increases. </w:t>
      </w:r>
      <w:r w:rsidR="00C62F47">
        <w:t>Intuitively</w:t>
      </w:r>
      <w:r>
        <w:t xml:space="preserve">, this makes sense that the more money needed to reach the goal, the less likely it will succeed. For someone starting a kickstarter, it may be useful to do a few smaller ones over a longer </w:t>
      </w:r>
      <w:proofErr w:type="gramStart"/>
      <w:r>
        <w:t>period of time</w:t>
      </w:r>
      <w:proofErr w:type="gramEnd"/>
      <w:r>
        <w:t xml:space="preserve"> rather than one big one.</w:t>
      </w:r>
    </w:p>
    <w:p w:rsidR="00D349E8" w:rsidRDefault="00D508F2" w:rsidP="00D349E8">
      <w:pPr>
        <w:jc w:val="center"/>
      </w:pPr>
      <w:r>
        <w:rPr>
          <w:noProof/>
        </w:rPr>
        <w:drawing>
          <wp:inline distT="0" distB="0" distL="0" distR="0" wp14:anchorId="222E968E">
            <wp:extent cx="5956300" cy="28473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2847340"/>
                    </a:xfrm>
                    <a:prstGeom prst="rect">
                      <a:avLst/>
                    </a:prstGeom>
                    <a:noFill/>
                  </pic:spPr>
                </pic:pic>
              </a:graphicData>
            </a:graphic>
          </wp:inline>
        </w:drawing>
      </w:r>
    </w:p>
    <w:p w:rsidR="000121E1" w:rsidRDefault="000121E1" w:rsidP="0083296A"/>
    <w:p w:rsidR="00901D67" w:rsidRDefault="00901D67" w:rsidP="0083296A">
      <w:r>
        <w:t>There are some limitations to the data.</w:t>
      </w:r>
      <w:r w:rsidR="00B66B6A">
        <w:t xml:space="preserve"> There are many different factors that could contribute to a campaign being successful that is not in the data. For example, we do not know how much “marketing” each campaign does. A project that markets their campaign more, will most likely have a better chance of being successful. The type of marketing they do could be interesting to analyze to see what is successful and what is not. Another useful piece of data for each campaign would be how well known was the project before the campaign. If a lot of people know about the project, it would be expected that it would be successful more often, compared to a company or project that is just starting and looking for funding. The reason for the campaign would be nice to have as well. This could help us see if people donate no matter what the reason is, or if there are some reasons that are more successful than others.</w:t>
      </w:r>
    </w:p>
    <w:p w:rsidR="00C62F47" w:rsidRDefault="00C62F47" w:rsidP="0083296A"/>
    <w:p w:rsidR="008767C5" w:rsidRDefault="000121E1" w:rsidP="0083296A">
      <w:r>
        <w:t xml:space="preserve">Another table that can be created is </w:t>
      </w:r>
      <w:r w:rsidR="008767C5">
        <w:t>how successful a kickstarter is based on how long the campaign is. This can tell us if longer campaigns are more successful than shorter ones, or vice-versa. Shown below, the shorter the campaign is, the more likely it is to succeed. This is an interesting finding because it would make more sense for the ones that have a longer amount of time be more successful than the ones with a shorter amount of time. It is likely that the short campaigns are usually for less money than the longer ones. From the previous graph, the smaller goals are more likely to succeed than the higher ones.</w:t>
      </w:r>
    </w:p>
    <w:p w:rsidR="008767C5" w:rsidRDefault="008767C5" w:rsidP="008767C5">
      <w:pPr>
        <w:jc w:val="center"/>
      </w:pPr>
      <w:r>
        <w:rPr>
          <w:noProof/>
        </w:rPr>
        <w:lastRenderedPageBreak/>
        <w:drawing>
          <wp:inline distT="0" distB="0" distL="0" distR="0" wp14:anchorId="7325A4E6" wp14:editId="0633F475">
            <wp:extent cx="5216525" cy="2441575"/>
            <wp:effectExtent l="0" t="0" r="3175" b="15875"/>
            <wp:docPr id="6" name="Chart 6">
              <a:extLst xmlns:a="http://schemas.openxmlformats.org/drawingml/2006/main">
                <a:ext uri="{FF2B5EF4-FFF2-40B4-BE49-F238E27FC236}">
                  <a16:creationId xmlns:a16="http://schemas.microsoft.com/office/drawing/2014/main" id="{36BAC05C-2FE0-46FB-A92F-AE652C56C2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508F2" w:rsidRDefault="00D508F2" w:rsidP="00D508F2"/>
    <w:p w:rsidR="00D508F2" w:rsidRDefault="00D508F2" w:rsidP="00D508F2">
      <w:r>
        <w:t>Another chart that was interesting to look at was the number of successful music campaigns based on the goal amount. Music was the most successful ca</w:t>
      </w:r>
      <w:r w:rsidR="00DB0A4E">
        <w:t xml:space="preserve">tegory. From this chart, we can see that the music campaigns mostly have a goal amount of 1000 to 4999. From a previous chart, the lower the goal amount was, the more successful the campaign was. Food category was the least successful category. While it is a much smaller sample size, there still is a higher percentage of food campaigns that have a higher goal than the music category. It seems that the </w:t>
      </w:r>
      <w:r w:rsidR="00FF5864">
        <w:t>category may not be as important to the success rate of a campaign as the goal amount.</w:t>
      </w:r>
      <w:bookmarkStart w:id="0" w:name="_GoBack"/>
      <w:bookmarkEnd w:id="0"/>
    </w:p>
    <w:p w:rsidR="00D508F2" w:rsidRPr="0083296A" w:rsidRDefault="00DB0A4E" w:rsidP="008767C5">
      <w:pPr>
        <w:jc w:val="center"/>
      </w:pPr>
      <w:r>
        <w:rPr>
          <w:noProof/>
        </w:rPr>
        <w:drawing>
          <wp:inline distT="0" distB="0" distL="0" distR="0" wp14:anchorId="469115B4">
            <wp:extent cx="6303645" cy="2981325"/>
            <wp:effectExtent l="19050" t="19050" r="2095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2981325"/>
                    </a:xfrm>
                    <a:prstGeom prst="rect">
                      <a:avLst/>
                    </a:prstGeom>
                    <a:noFill/>
                    <a:ln>
                      <a:solidFill>
                        <a:schemeClr val="tx1"/>
                      </a:solidFill>
                    </a:ln>
                  </pic:spPr>
                </pic:pic>
              </a:graphicData>
            </a:graphic>
          </wp:inline>
        </w:drawing>
      </w:r>
    </w:p>
    <w:sectPr w:rsidR="00D508F2" w:rsidRPr="00832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F7324"/>
    <w:multiLevelType w:val="hybridMultilevel"/>
    <w:tmpl w:val="7AE05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6A"/>
    <w:rsid w:val="000121E1"/>
    <w:rsid w:val="00157747"/>
    <w:rsid w:val="003E1E34"/>
    <w:rsid w:val="006E53F7"/>
    <w:rsid w:val="0072649A"/>
    <w:rsid w:val="0083296A"/>
    <w:rsid w:val="008767C5"/>
    <w:rsid w:val="00901D67"/>
    <w:rsid w:val="00B66B6A"/>
    <w:rsid w:val="00C62F47"/>
    <w:rsid w:val="00CA3A48"/>
    <w:rsid w:val="00D349E8"/>
    <w:rsid w:val="00D508F2"/>
    <w:rsid w:val="00DB0A4E"/>
    <w:rsid w:val="00DF4681"/>
    <w:rsid w:val="00FF5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042A"/>
  <w15:chartTrackingRefBased/>
  <w15:docId w15:val="{C222D760-C309-48FF-80CF-6910BBA0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96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esktop\Homework\Excel_HW.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a:t>
            </a:r>
            <a:r>
              <a:rPr lang="en-US" baseline="0"/>
              <a:t> on Length of Campaign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'length of time'!$H$2</c:f>
              <c:strCache>
                <c:ptCount val="1"/>
                <c:pt idx="0">
                  <c:v>Percentage Successful</c:v>
                </c:pt>
              </c:strCache>
            </c:strRef>
          </c:tx>
          <c:spPr>
            <a:ln w="28575" cap="rnd">
              <a:solidFill>
                <a:schemeClr val="accent1"/>
              </a:solidFill>
              <a:round/>
            </a:ln>
            <a:effectLst/>
          </c:spPr>
          <c:marker>
            <c:symbol val="none"/>
          </c:marker>
          <c:cat>
            <c:strRef>
              <c:f>'length of time'!$C$3:$C$8</c:f>
              <c:strCache>
                <c:ptCount val="6"/>
                <c:pt idx="0">
                  <c:v>&lt;20</c:v>
                </c:pt>
                <c:pt idx="1">
                  <c:v>20 to 29</c:v>
                </c:pt>
                <c:pt idx="2">
                  <c:v>30 to 39</c:v>
                </c:pt>
                <c:pt idx="3">
                  <c:v>40 to 49</c:v>
                </c:pt>
                <c:pt idx="4">
                  <c:v>50 to 59</c:v>
                </c:pt>
                <c:pt idx="5">
                  <c:v>Greater than or equal to 60</c:v>
                </c:pt>
              </c:strCache>
            </c:strRef>
          </c:cat>
          <c:val>
            <c:numRef>
              <c:f>'length of time'!$H$3:$H$8</c:f>
              <c:numCache>
                <c:formatCode>0%</c:formatCode>
                <c:ptCount val="6"/>
                <c:pt idx="0">
                  <c:v>0.68023255813953487</c:v>
                </c:pt>
                <c:pt idx="1">
                  <c:v>0.66854990583804141</c:v>
                </c:pt>
                <c:pt idx="2">
                  <c:v>0.53106796116504851</c:v>
                </c:pt>
                <c:pt idx="3">
                  <c:v>0.47267759562841533</c:v>
                </c:pt>
                <c:pt idx="4">
                  <c:v>0.43518518518518517</c:v>
                </c:pt>
                <c:pt idx="5">
                  <c:v>0.36721311475409835</c:v>
                </c:pt>
              </c:numCache>
            </c:numRef>
          </c:val>
          <c:smooth val="0"/>
          <c:extLst>
            <c:ext xmlns:c16="http://schemas.microsoft.com/office/drawing/2014/chart" uri="{C3380CC4-5D6E-409C-BE32-E72D297353CC}">
              <c16:uniqueId val="{00000000-143F-4E56-AC74-C9A603362B83}"/>
            </c:ext>
          </c:extLst>
        </c:ser>
        <c:ser>
          <c:idx val="1"/>
          <c:order val="1"/>
          <c:tx>
            <c:strRef>
              <c:f>'length of time'!$I$2</c:f>
              <c:strCache>
                <c:ptCount val="1"/>
                <c:pt idx="0">
                  <c:v>Percentage Failed</c:v>
                </c:pt>
              </c:strCache>
            </c:strRef>
          </c:tx>
          <c:spPr>
            <a:ln w="28575" cap="rnd">
              <a:solidFill>
                <a:schemeClr val="accent2"/>
              </a:solidFill>
              <a:round/>
            </a:ln>
            <a:effectLst/>
          </c:spPr>
          <c:marker>
            <c:symbol val="none"/>
          </c:marker>
          <c:cat>
            <c:strRef>
              <c:f>'length of time'!$C$3:$C$8</c:f>
              <c:strCache>
                <c:ptCount val="6"/>
                <c:pt idx="0">
                  <c:v>&lt;20</c:v>
                </c:pt>
                <c:pt idx="1">
                  <c:v>20 to 29</c:v>
                </c:pt>
                <c:pt idx="2">
                  <c:v>30 to 39</c:v>
                </c:pt>
                <c:pt idx="3">
                  <c:v>40 to 49</c:v>
                </c:pt>
                <c:pt idx="4">
                  <c:v>50 to 59</c:v>
                </c:pt>
                <c:pt idx="5">
                  <c:v>Greater than or equal to 60</c:v>
                </c:pt>
              </c:strCache>
            </c:strRef>
          </c:cat>
          <c:val>
            <c:numRef>
              <c:f>'length of time'!$I$3:$I$8</c:f>
              <c:numCache>
                <c:formatCode>0%</c:formatCode>
                <c:ptCount val="6"/>
                <c:pt idx="0">
                  <c:v>0.27325581395348836</c:v>
                </c:pt>
                <c:pt idx="1">
                  <c:v>0.25800376647834272</c:v>
                </c:pt>
                <c:pt idx="2">
                  <c:v>0.37766990291262137</c:v>
                </c:pt>
                <c:pt idx="3">
                  <c:v>0.38797814207650272</c:v>
                </c:pt>
                <c:pt idx="4">
                  <c:v>0.41666666666666669</c:v>
                </c:pt>
                <c:pt idx="5">
                  <c:v>0.52786885245901638</c:v>
                </c:pt>
              </c:numCache>
            </c:numRef>
          </c:val>
          <c:smooth val="0"/>
          <c:extLst>
            <c:ext xmlns:c16="http://schemas.microsoft.com/office/drawing/2014/chart" uri="{C3380CC4-5D6E-409C-BE32-E72D297353CC}">
              <c16:uniqueId val="{00000001-143F-4E56-AC74-C9A603362B83}"/>
            </c:ext>
          </c:extLst>
        </c:ser>
        <c:ser>
          <c:idx val="2"/>
          <c:order val="2"/>
          <c:tx>
            <c:strRef>
              <c:f>'length of time'!$J$2</c:f>
              <c:strCache>
                <c:ptCount val="1"/>
                <c:pt idx="0">
                  <c:v>Percentage Canceled</c:v>
                </c:pt>
              </c:strCache>
            </c:strRef>
          </c:tx>
          <c:spPr>
            <a:ln w="28575" cap="rnd">
              <a:solidFill>
                <a:schemeClr val="accent3"/>
              </a:solidFill>
              <a:round/>
            </a:ln>
            <a:effectLst/>
          </c:spPr>
          <c:marker>
            <c:symbol val="none"/>
          </c:marker>
          <c:cat>
            <c:strRef>
              <c:f>'length of time'!$C$3:$C$8</c:f>
              <c:strCache>
                <c:ptCount val="6"/>
                <c:pt idx="0">
                  <c:v>&lt;20</c:v>
                </c:pt>
                <c:pt idx="1">
                  <c:v>20 to 29</c:v>
                </c:pt>
                <c:pt idx="2">
                  <c:v>30 to 39</c:v>
                </c:pt>
                <c:pt idx="3">
                  <c:v>40 to 49</c:v>
                </c:pt>
                <c:pt idx="4">
                  <c:v>50 to 59</c:v>
                </c:pt>
                <c:pt idx="5">
                  <c:v>Greater than or equal to 60</c:v>
                </c:pt>
              </c:strCache>
            </c:strRef>
          </c:cat>
          <c:val>
            <c:numRef>
              <c:f>'length of time'!$J$3:$J$8</c:f>
              <c:numCache>
                <c:formatCode>0%</c:formatCode>
                <c:ptCount val="6"/>
                <c:pt idx="0">
                  <c:v>3.7790697674418602E-2</c:v>
                </c:pt>
                <c:pt idx="1">
                  <c:v>6.2146892655367235E-2</c:v>
                </c:pt>
                <c:pt idx="2">
                  <c:v>8.5922330097087385E-2</c:v>
                </c:pt>
                <c:pt idx="3">
                  <c:v>0.12568306010928962</c:v>
                </c:pt>
                <c:pt idx="4">
                  <c:v>0.12962962962962962</c:v>
                </c:pt>
                <c:pt idx="5">
                  <c:v>0.10491803278688525</c:v>
                </c:pt>
              </c:numCache>
            </c:numRef>
          </c:val>
          <c:smooth val="0"/>
          <c:extLst>
            <c:ext xmlns:c16="http://schemas.microsoft.com/office/drawing/2014/chart" uri="{C3380CC4-5D6E-409C-BE32-E72D297353CC}">
              <c16:uniqueId val="{00000002-143F-4E56-AC74-C9A603362B83}"/>
            </c:ext>
          </c:extLst>
        </c:ser>
        <c:dLbls>
          <c:showLegendKey val="0"/>
          <c:showVal val="0"/>
          <c:showCatName val="0"/>
          <c:showSerName val="0"/>
          <c:showPercent val="0"/>
          <c:showBubbleSize val="0"/>
        </c:dLbls>
        <c:smooth val="0"/>
        <c:axId val="804567408"/>
        <c:axId val="804564456"/>
      </c:lineChart>
      <c:catAx>
        <c:axId val="80456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64456"/>
        <c:crosses val="autoZero"/>
        <c:auto val="1"/>
        <c:lblAlgn val="ctr"/>
        <c:lblOffset val="100"/>
        <c:noMultiLvlLbl val="0"/>
      </c:catAx>
      <c:valAx>
        <c:axId val="8045644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4567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9017</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colburn</dc:creator>
  <cp:keywords/>
  <dc:description/>
  <cp:lastModifiedBy>eric colburn</cp:lastModifiedBy>
  <cp:revision>6</cp:revision>
  <dcterms:created xsi:type="dcterms:W3CDTF">2018-11-21T17:09:00Z</dcterms:created>
  <dcterms:modified xsi:type="dcterms:W3CDTF">2018-11-27T23:26:00Z</dcterms:modified>
</cp:coreProperties>
</file>