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Qualité air 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https://www.canada.ca/fr/environnement-changement-climatique/services/indicateurs-environnementaux/pollution-atmospherique-facteurs-incidences.html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Gorilles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https://www.worldwildlife.org/species/mountain-gorilla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Monde 3D qualité air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https://skybox.blockadelabs.com/63bef1614c0e45f4cab4af53f9947eac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ada.ca/fr/environnement-changement-climatique/services/indicateurs-environnementaux/pollution-atmospherique-facteurs-incidences.html" TargetMode="External"/><Relationship Id="rId7" Type="http://schemas.openxmlformats.org/officeDocument/2006/relationships/hyperlink" Target="https://skybox.blockadelabs.com/63bef1614c0e45f4cab4af53f9947e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