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24"/>
          <w:szCs w:val="24"/>
          <w:u w:val="single"/>
          <w:rtl w:val="0"/>
        </w:rPr>
        <w:t xml:space="preserve">INFO DJANGO...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django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 framework web (espace de travail + outils, pour créer facilement des applications web)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Regrouper un ensemble d’outils de base pour éviter de les réécrire et poser les bases de l’architecture du projet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 philosophie : DRY : Don’t Repeat Yourself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2295525</wp:posOffset>
            </wp:positionH>
            <wp:positionV relativeFrom="paragraph">
              <wp:posOffset>123825</wp:posOffset>
            </wp:positionV>
            <wp:extent cx="3314665" cy="1481138"/>
            <wp:effectExtent b="0" l="0" r="0" t="0"/>
            <wp:wrapSquare wrapText="bothSides" distB="0" distT="0" distL="0" distR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665" cy="148113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 architecture MVT (</w:t>
      </w:r>
      <w:r w:rsidDel="00000000" w:rsidR="00000000" w:rsidRPr="00000000">
        <w:rPr>
          <w:i w:val="1"/>
          <w:sz w:val="21"/>
          <w:szCs w:val="21"/>
          <w:highlight w:val="white"/>
          <w:rtl w:val="0"/>
        </w:rPr>
        <w:t xml:space="preserve">Modèle-Vue-Template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Quel élément n’avez-vous pas à gérer lors de la création d’une vue dans Django 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1"/>
          <w:szCs w:val="21"/>
          <w:highlight w:val="white"/>
          <w:u w:val="non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l’écriture de la réponse HTTP complète au client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 À partir de quelle adresse peut-on accéder au serveur de développement, lancé via manage.py runserver ?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http://localhost:8000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= But d’un ORM (object relational mapping) : C’est une abstraction de la communication avec la base de données, afin de manipuler des objets au lieu de données SQL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