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AMENDEMENTS ET COMPLÉMENTS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 d’Architecture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Plateforme Multi-Tenant RAG Chatbot CRI</w:t>
      </w:r>
    </w:p>
    <w:p>
      <w:pPr>
        <w:pBdr>
          <w:top w:val="single" w:color="1F4E79" w:sz="3" w:space="8"/>
          <w:bottom w:val="single" w:color="1F4E79" w:sz="3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Appel d’Offres N° 02/2026/CRI RSK</w:t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</w:t>
      </w:r>
      <w:r>
        <w:rPr>
          <w:rFonts w:ascii="Arial" w:cs="Arial" w:eastAsia="Arial" w:hAnsi="Arial"/>
          <w:sz w:val="22"/>
          <w:szCs w:val="22"/>
        </w:rPr>
        <w:t xml:space="preserve">Ce document identifie les lacunes et insuffisances du document d’architecture actuel par rapport aux exigences du CPS, et fournit les compléments à intégrer manuellement.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sz w:val="22"/>
          <w:szCs w:val="22"/>
        </w:rPr>
        <w:t xml:space="preserve">Mars 2026</w:t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Statut : </w:t>
      </w:r>
      <w:r>
        <w:rPr>
          <w:rFonts w:ascii="Arial" w:cs="Arial" w:eastAsia="Arial" w:hAnsi="Arial"/>
          <w:color w:val="E67E22"/>
          <w:sz w:val="22"/>
          <w:szCs w:val="22"/>
        </w:rPr>
        <w:t xml:space="preserve">Préliminaire — En attente de validation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Synthèse des Amendements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Ce document recense 4 points d’amélioration identifiés lors de l’audit de conformité entre le document d’architecture et le CPS (Cahier des Prescriptions Spéciales). Pour chaque point, il fournit : le constat, l’impact CPS, le contenu à ajouter ou modifier, et les instructions d’intégration dans le document original.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00"/>
        <w:gridCol w:w="30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Amendement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Sections Impactées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Intégration SI : Stratégie multi-niveaux (Excel + API + DB-Link)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§7.1.2, §11.2, §12.1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Haute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Notation/Feedback : Flux UX conversationnel détaillé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§6.1.3, §7 (nouveau §7.5), §12.1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Haute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Gestion des 20 000 contacts : Module CRM léger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 (nouveau §7.6), §9.2, §12.1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Haute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Escalade Humaine : Interface et scénarios détaillés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§7 (nouveau §7.7), §9.2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Haute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Amendement A — Intégration du Système d’Information (SI)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A.1. Constat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📄 Section concernée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Section 7.1.2 — Base de Données Dédiée au Suivi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Exigence CPS (Art. 24, §1.5) : </w:t>
      </w:r>
      <w:r>
        <w:rPr>
          <w:rFonts w:ascii="Arial" w:cs="Arial" w:eastAsia="Arial" w:hAnsi="Arial"/>
          <w:sz w:val="22"/>
          <w:szCs w:val="22"/>
        </w:rPr>
        <w:t xml:space="preserve">Création d’une base de données de suivi hébergée au CRI servant de référentiel pour l’état d’avancement des dossiers.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Clarification R8 : </w:t>
      </w:r>
      <w:r>
        <w:rPr>
          <w:rFonts w:ascii="Arial" w:cs="Arial" w:eastAsia="Arial" w:hAnsi="Arial"/>
          <w:sz w:val="22"/>
          <w:szCs w:val="22"/>
        </w:rPr>
        <w:t xml:space="preserve">Les données sont exportées au format Excel/CSV puis importées dans PostgreSQL.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 : </w:t>
      </w:r>
      <w:r>
        <w:rPr>
          <w:rFonts w:ascii="Arial" w:cs="Arial" w:eastAsia="Arial" w:hAnsi="Arial"/>
          <w:sz w:val="22"/>
          <w:szCs w:val="22"/>
        </w:rPr>
        <w:t xml:space="preserve">Le document actuel se limite à un import Excel/CSV périodique avec un cron job. Cette approche présente des risques : données obsolètes entre deux imports, erreurs de format, absence de traçabilité des modifications côté SI, et non-évolutivité vers une intégration temps réel.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A.2. Contenu à Ajouter/Modifier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A.2.1. Remplacement de la section 7.1.2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Remplacer intégralement le contenu de la section 7.1.2 par le texte ci-dessous.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7.1.2. Stratégie d’Intégration SI Multi-Niveaux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Conformément au CPS (article 24, section 1.5) et à la clarification R8, l’intégration avec le SI existant du CRI repose sur une stratégie progressive à 3 niveaux, permettant de démarrer rapidement tout en préparant une intégration plus robuste 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Niveau 1 — Import Excel/CSV (Phase 3, livraison initiale)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manuel ou automatisé de fichiers Excel/CSV déposés dans un répertoire surveillé (watched folder) sur MinIO, bucket du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planifié (ARQ worker + cron) avec détection de différences (hash SHA-256 par fichier) pour éviter les reimports inutiles.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Pipeline de validation : vérification du schéma (colonnes attendues, types), détection des doublons (numéro de dossier), rapport d’erreurs envoyé aux admins via le back-office.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Mapping configurable par tenant via le back-office : correspondance entre colonnes Excel et champs de la table dossiers.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Fréquence : import quotidien (configurable), avec possibilité d’import manuel à la demande depuis le back-office.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Historisation : chaque import est tracé dans une table sync_logs (date, fichier, nb lignes importées, nb erreurs, statut).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Niveau 2 — Connecteur API REST (Maintenance évolutive, 12 mois)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le SI du CRI expose une API (SOAP ou REST), un connecteur dédié remplace l’import fichier.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Synchronisation incrémentale : appel périodique (toutes les 15-30 min) avec filtre par date de dernière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Abstraction via une interface SyncProvider par tenant, permettant de basculer entre Excel et API sans modifier le code métier.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Déclenchement de notifications proactives en temps quasi-réel lors de changements de statut détectés.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Niveau 3 — DB-Link / CDC (Post-marché, évolution future)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Connexion directe à la base SI via Foreign Data Wrapper (FDW) PostgreSQL ou Change Data Capture (Debezium).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Synchronisation en temps réel des changements de statut.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Pré-requis : accès réseau au SI du CRI (VPN interne) et accord de sécurité.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A.2.2. Nouveau schéma de données à ajouter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ces tables dans la section 12.1 (Modèle de Données Simplifié).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sync_logs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source_type (excel|api|dblink), file_name, rows_imported, rows_errored, status, started_at, completed_at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des synchronisations 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sync_configs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provider_type, config_json, mapping_json, schedule_cron, is_active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de synchro par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dossier_history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dossier_id, field_changed, old_value, new_value, changed_at, sync_log_id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des modifications de dossiers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A.2.3. Ajout dans la section 11.2 (Évolutivité)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un point dans la liste d’évolutivité de la section 11.2.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 Intégration SI progressive : migration transparente de l’import Excel/CSV vers un connecteur API REST, puis vers une synchronisation temps réel (DB-Link/CDC), grâce à l’abstraction SyncProvider par tenant. 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Amendement B — Notation et Feedback Utilisateurs (Flux UX)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B.1. Constat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📄 Section concernée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EF-09 + Section 9.2.5 (Analytics) + Section 12.1 (table feedback)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Exigence CPS (Art. 25, §3.6) : </w:t>
      </w:r>
      <w:r>
        <w:rPr>
          <w:rFonts w:ascii="Arial" w:cs="Arial" w:eastAsia="Arial" w:hAnsi="Arial"/>
          <w:sz w:val="22"/>
          <w:szCs w:val="22"/>
        </w:rPr>
        <w:t xml:space="preserve">Implémenter une fonctionnalité de revue et de notation permettant aux utilisateurs d’évaluer la qualité des réponses du chatbot.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 : </w:t>
      </w:r>
      <w:r>
        <w:rPr>
          <w:rFonts w:ascii="Arial" w:cs="Arial" w:eastAsia="Arial" w:hAnsi="Arial"/>
          <w:sz w:val="22"/>
          <w:szCs w:val="22"/>
        </w:rPr>
        <w:t xml:space="preserve">L’architecture mentionne une table feedback et une ligne dans les Analytics, mais ne décrit pas le flux UX conversationnel : comment et quand l’utilisateur est-il invité à noter ? Via quel mécanisme WhatsApp ? Comment le feedback est-il exploité pour améliorer le RAG ?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B.2. Contenu à Ajouter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B.2.1. Nouvelle section 7.5 — Module Notation et Feedback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Créer une nouvelle section 7.5 après le Module Campagnes (7.4).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7.5. Module Notation et Feedback Utilisateurs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Conformément au CPS (article 25, section 3.6), un système de notation intégré au flux conversationnel permet aux utilisateurs d’évaluer chaque réponse du chatbot 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7.5.1. Déclenchement de la demande de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Après chaque réponse FAQ RAG, le chatbot envoie un message interactif WhatsApp avec boutons de réaction rapide 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👍 "Réponse utile" (rating = 5)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👎 "Pas satisfait" (rating =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❓ "Parler à un agent" (déclenche l’escalade, cf. section 7.7)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Fréquence configurable par tenant : après chaque réponse, toutes les N réponses, ou en fin de conversation (timeout 10 min d’inactivité).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feedback est optionnel : si l’utilisateur ne répond pas, la conversation continue normalement.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7.5.2. Collecte de feedback détaillé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cas de "👎 Pas satisfait", un message de suivi demande la raison via une liste WhatsApp 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"Réponse incorrecte"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"Réponse incomplète"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"Pas ce que je cherchais"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"Autre" (ouvre un champ texte libre)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feedback négatif est automatiquement routé vers la file d’apprentissage supervisé (section 6.2) en tant que question à réviser.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7.5.3. Exploitation du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Tableau de bord dans le back-office (section 9.2.5) : taux de satisfaction global, par catégorie, évolution temporelle, top 10 des réponses les moins bien notées.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Seuil d’alerte configurable : si le taux de satisfaction tombe sous X% sur les 7 derniers jours, notification automatique aux superviseurs.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Corrélation feedback/chunks RAG : identification des chunks source les moins performants pour prioriser la révision de la KB.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B.2.2. Table feedback enrichie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Remplacer la définition de la table feedback dans la section 12.1.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message_id, conversation_id, contact_id, rating (1-5), reason_code (enum), comment (text nullable), chunk_ids (array), created_at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 et retours utilisateurs avec traçabilité des chunks RAG utilisés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B.2.3. Modification de la section 6.1.3 (Post-traitement)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un point à la fin de la section 6.1.3 (Phase de Génération).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 Ajout systématique d’un message interactif de feedback (boutons 👍/👎/❓) après chaque réponse FAQ, conformément au module de notation (section 7.5). Les chunk_ids utilisés pour la génération sont stockés dans les métadonnées du message pour permettre la corrélation feedback/qualité RAG. 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Amendement C — Gestion des 20 000 Contacts (CRM Léger)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C.1. Constat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📄 Section concernée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ENF-05 + Table contacts (Section 12.1) + Section 9.2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Exigence CPS (Art. 25, §3.6) : </w:t>
      </w:r>
      <w:r>
        <w:rPr>
          <w:rFonts w:ascii="Arial" w:cs="Arial" w:eastAsia="Arial" w:hAnsi="Arial"/>
          <w:sz w:val="22"/>
          <w:szCs w:val="22"/>
        </w:rPr>
        <w:t xml:space="preserve">Gérer jusqu’à 20 000 contacts par entité.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 : </w:t>
      </w:r>
      <w:r>
        <w:rPr>
          <w:rFonts w:ascii="Arial" w:cs="Arial" w:eastAsia="Arial" w:hAnsi="Arial"/>
          <w:sz w:val="22"/>
          <w:szCs w:val="22"/>
        </w:rPr>
        <w:t xml:space="preserve">La table contacts dans le modèle de données est minimaliste (id, phone, name, language, cin, created_at). Aucune section ne décrit la gestion de cette base de contacts : import/export, segmentation, cycle de vie, dédoublonnage, conformité CNDP (opt-in/opt-out WhatsApp), ni son utilisation dans le module campagnes.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C.2. Contenu à Ajouter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C.2.1. Nouvelle section 7.6 — Module de Gestion des Contacts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Créer une nouvelle section 7.6 après le Module Notation (7.5).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7.6. Module de Gestion des Contacts (CRM Léger)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plateforme intègre un module de gestion des contacts servant de référentiel unique pour chaque tenant, capable de gérer jusqu’à 20 000 contacts (ENF-05) 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7.6.1. Cycle de vie du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Création automatique : tout nouveau numéro WhatsApp envoyant un message crée automatiquement une fiche contact avec les métadonnées disponibles (numéro, langue détectée, date premier contact).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Enrichissement progressif : le système enrichit la fiche au fil des interactions (CIN via suivi dossier, nom, préférences linguistiques, secteur d’activité via incitations).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en masse via Excel/CSV depuis le back-office avec détection de doublons (clé : numéro de téléphone normalisé E.164).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: génération de fichiers Excel filtrés par segment, état, ou période.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7.6.2. Segmentation et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Système de tags libres et de segments automatiques (ex : "investisseur actif", "dossier en cours", "inactif &gt; 6 mois").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segments sont utilisables comme critères de ciblage dans le module Campagnes (§7.4).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Filtrage avancé dans le back-office : par langue, par statut de dossier, par tag, par date.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7.6.3. Conformité CNDP et Opt-in/Opt-out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Gestion du consentement WhatsApp : chaque contact a un statut d’opt-in (opted_in, opted_out, pending) conforme à la loi 09-08.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Mécanisme d’opt-out via mot-clé ("STOP") détecté automatiquement par l’orchestrateur.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contacts en opt-out sont exclus automatiquement des campagnes et des notifications proactives.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Journal d’audit des changements de consentement (date, source, ancien/nouveau statut).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C.2.2. Table contacts enrichie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Remplacer la définition de la table contacts dans la section 12.1.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phone (unique, E.164), name, language (fr|ar|en), cin, email, sector, tags (jsonb), whatsapp_opt_in (enum), opt_in_at, opt_out_at, first_contact_at, last_interaction_at, created_at, updated_at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Référentiel contacts avec segmentation et consentement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contact_tags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name, color, auto_rule (jsonb nullable)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Définition des tags par tenant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C.2.3. Ajout dans la section 9.2 (Back-Office Tenant)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une nouvelle sous-section 9.2.6 — Gestion des Contacts.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 9.2.6. Gestion des Contacts — Liste paginée et recherchable des contacts (recherche par nom, téléphone, CIN, tag). Import/export Excel. Gestion des tags et segments. Visualisation du statut opt-in/opt-out. Historique des interactions par contact. Dédoublonnage automatique sur import. Index PostgreSQL sur phone, cin, et tags (GIN) pour performances sur 20 000+ enregistrements. 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Amendement D — Escalade Agent Humain (Détail des Scénarios et Interface)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D.1. Constat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📄 Section concernée 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EF-08 + Section 3.1.3 (Couche Métier) + Matrice de Conformité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Exigence CPS (Art. 25, §3.1) : </w:t>
      </w:r>
      <w:r>
        <w:rPr>
          <w:rFonts w:ascii="Arial" w:cs="Arial" w:eastAsia="Arial" w:hAnsi="Arial"/>
          <w:sz w:val="22"/>
          <w:szCs w:val="22"/>
        </w:rPr>
        <w:t xml:space="preserve">Le prestataire précisera les scénarios d’escalade vers un agent humain.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 : </w:t>
      </w:r>
      <w:r>
        <w:rPr>
          <w:rFonts w:ascii="Arial" w:cs="Arial" w:eastAsia="Arial" w:hAnsi="Arial"/>
          <w:sz w:val="22"/>
          <w:szCs w:val="22"/>
        </w:rPr>
        <w:t xml:space="preserve">L’architecture mentionne un « Module Escalade Agent Humain » dans la couche métier et dans la matrice de conformité (« Détection automatique + transfert avec contexte »), mais ne définit ni les scénarios déclencheurs, ni l’interface utilisée par l’humain pour reprendre la conversation, ni le flux technique de bout en bout.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</w:rPr>
        <w:t xml:space="preserve">D.2. Contenu à Ajouter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D.2.1. Nouvelle section 7.7 — Module Escalade Agent Humain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Créer une nouvelle section 7.7 après le Module de Gestion des Contacts (7.6).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7.7. Module d’Escalade vers un Agent Humain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Conformément au CPS (article 25, section 3.1), le système permet un transfert fluide vers un agent humain avec conservation du contexte conversationnel 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7.7.1. Scénarios de déclenchement de l’escalade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L’escalade est déclenchée automatiquement ou manuellement selon les cas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explicite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L’utilisateur demande à parler à un humain (détection d’intention via Gemini ou bouton ❓)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Échec RAG répété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confiance &lt; seuil sur 2+ questions consécutives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Sujet sensible détecté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Réclamation, mécontentement, problème juridique (classification Gemini)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négatif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L’utilisateur note 👎 puis clique « Parler à un agent 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d’inactivité en attente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L’utilisateur est en processus (ex: OTP) et semble bloqué &gt; 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Déclenchement manuel back-office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superviseur observe une conversation et décide d’intervenir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7.7.2. Interface de prise en charge par l’agent humain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L’agent humain utilise le back-office de supervision (section 9.2.2) enrichi d’un module de prise en charge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d’attente des escalades : tableau temps réel des conversations en attente de prise en charge, triées par priorité et ancienneté.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Prise en charge : l’agent clique pour s’assigner la conversation. Le chatbot envoie un message automatique à l’utilisateur : « Un conseiller va prendre le relais, veuillez patienter.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Vue conversationnelle : l’agent voit l’historique complet de la conversation (messages chatbot + utilisateur), le résumé généré par Gemini du contexte, et les informations du contact.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Réponse via le back-office : l’agent tape sa réponse dans le back-office, qui est envoyée via l’API WhatsApp Business du tenant. L’utilisateur reçoit le message sur WhatsApp, sans changement de numéro.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Suggestions IA : pendant la prise en charge, Gemini suggère des réponses à l’agent basées sur la KB, que l’agent peut valider, modifier ou ignorer.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Clôture et restitution : l’agent clôture la prise en charge, un message automatique informe l’utilisateur qu’il est de nouveau avec le chatbot. La conversation repasse en mode automatique.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7.7.3. Flux technique de bout en bout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Détection du déclencheur par l’orchestrateur de conversation.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Marquage de la conversation : statut passe de "active" à "escalated" dans la table conversations.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Création d’une entrée dans la table escalations (conversation_id, trigger_type, priority, assigned_to nullable).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temps réel (WebSocket) aux superviseurs connectés au back-office.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 automatique WhatsApp à l’utilisateur (template prévalidé par Meta).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Prise en charge par un agent : assigned_to = admin_id, statut conversation = "human_handled".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messages de l’agent transitent par l’API WhatsApp du tenant (même numéro, transparent pour l’utilisateur).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Clôture : statut repasse à "active", l’orchestrateur reprend le contrôle.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7.7.4. Remarque importante : pas d’omnicanal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L’agent humain n’utilise PAS WhatsApp Web ni un outil tiers. La prise en charge se fait exclusivement via le back-office web de la plateforme, qui envoie les messages via l’API WhatsApp Business. Cela garantit la traçabilité complète, le respect de l’isolation multi-tenant, et l’audit de toutes les interactions.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D.2.2. Tables à ajouter au modèle de données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ces tables dans la section 12.1.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conversation_id, trigger_type (enum), priority (high|medium|low), assigned_to (nullable FK admins), context_summary (text, généré par Gemini), status (pending|assigned|resolved|expired), created_at, assigned_at, resolved_at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d’attente des escalades vers agents humains</w:t>
            </w:r>
          </w:p>
        </w:tc>
      </w:tr>
    </w:tbl>
    <w:p>
      <w:pPr>
        <w:pStyle w:val="Heading3"/>
        <w:spacing w:after="200" w:before="300"/>
      </w:pPr>
      <w:r>
        <w:rPr>
          <w:rFonts w:ascii="Arial" w:cs="Arial" w:eastAsia="Arial" w:hAnsi="Arial"/>
        </w:rPr>
        <w:t xml:space="preserve">D.2.3. Ajout dans la section 9.2.2 (Supervision)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Ajouter les points suivants à la section 9.2.2 (Supervision des Conversations).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 File d’attente des escalades temps réel avec indicateurs de priorité et de temps d’attente. Interface de prise en charge conversationnelle : vue complète de l’historique, résumé contextuel IA, saisie de réponse avec envoi via API WhatsApp du tenant. Suggestions de réponse assistées par Gemini. Notifications WebSocket pour les nouvelles escalades. Statistiques : temps moyen de prise en charge, taux de résolution, volume d’escalades par scénario. 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Mise à Jour de la Matrice de Conformité (§13)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Enrichir les lignes existantes et ajouter les nouvelles lignes dans la section 13 (Matrice de Conformité CPS).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Les lignes suivantes doivent être modifiées ou ajoutées dans la matrice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 CPS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Couverture Enrichie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Intégration SI (Art. 24, 1.5)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Stratégie 3 niveaux : Excel → API → DB-Link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Synchro 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Enrichi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Notation/Feedback (Art. 25, 3.6)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UX WhatsApp intégré + corrélation RAG +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Feedback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Enrichi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20 000 contacts (Art. 25, 3.6)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léger : cycle de vie, segmentation, opt-in CNDP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Contacts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Enrichi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Escalade humaine (Art. 25, 3.1)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scénarios, interface BO dédiée, flux technique complet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Escalade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Enrichi</w:t>
            </w:r>
          </w:p>
        </w:tc>
      </w:tr>
    </w:tbl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Impact sur le Phasage du Projet (§10)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Vérifier et ajuster les livrables de chaque phase.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(§10.1) — Ajouts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Notation/Feedback (7.5) : le flux UX de feedback doit être intégré dès l’Agent 1 FAQ.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 Contacts (7.6) : la création automatique de contacts et le cycle de vie basique sont nécessaires dès la Phase 1 pour alimenter le référentiel.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(§10.2) — Ajouts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Module Escalade (7.7) : doit être livré en Phase 2 avec la supervision complète.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Module Contacts complet : segmentation, tags, import/export en masse, conformité CNDP opt-in/opt-out.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(§10.3) — Ajouts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Stratégie d’intégration SI multi-niveaux (7.1.2) : Niveau 1 (Excel/CSV) livré en Phase 3, Niveaux 2-3 en maintenance évolutive.</w:t>
      </w:r>
    </w:p>
    <w:p>
      <w:pPr>
        <w:spacing w:before="4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</w:rPr>
        <w:t xml:space="preserve">Récapitulatif : Fichiers Backend Impactés</w:t>
      </w:r>
    </w:p>
    <w:p>
      <w:pPr>
        <w:pBdr>
          <w:left w:val="single" w:color="2E75B6" w:sz="6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➤ INSTRUCTION D’INTÉGRATION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 récapitulatif est fourni à titre indicatif pour le découpage en prompts Claude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Amendement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backend/app/services/sync/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module (SyncProvider, ExcelImporter,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backend/app/models/sync.py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sync_logs, sync_configs, dossier_history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backend/app/services/feedback/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module (FeedbackService)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backend/app/services/whatsapp/interactive.py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des messages interactifs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backend/app/models/feedback.py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feedback enrichi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backend/app/services/contact/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module (ContactService, TagService)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backend/app/models/contact.py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contact enrichi + contact_tags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backend/app/services/escalation/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Nouveau module (EscalationService)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backend/app/models/escalation.py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escalations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backend/app/api/v1/escalations.py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WebSocket + REST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frontend/src/app/escalations/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de prise en charge BO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frontend/src/app/contacts/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de gestion des contacts BO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frontend/src/app/analytics/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feedback enrichi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Amendements Architecture — AO 02/2026/CRI RSK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2026-03-24T21:20:08.018Z</dcterms:created>
  <dcterms:modified xsi:type="dcterms:W3CDTF">2026-03-24T21:20:08.019Z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