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48"/>
          <w:szCs w:val="48"/>
        </w:rPr>
        <w:t xml:space="preserve">ANNEXE SÉCURITÉ</w:t>
      </w:r>
    </w:p>
    <w:p>
      <w:pPr>
        <w:spacing w:after="100"/>
        <w:jc w:val="center"/>
      </w:pPr>
      <w:r>
        <w:rPr>
          <w:rFonts w:ascii="Arial" w:cs="Arial" w:eastAsia="Arial" w:hAnsi="Arial"/>
          <w:color w:val="2E75B6"/>
          <w:sz w:val="32"/>
          <w:szCs w:val="32"/>
        </w:rPr>
        <w:t xml:space="preserve">Politique et Mesures de Sécurité de la Plateforme</w:t>
      </w:r>
    </w:p>
    <w:p>
      <w:pPr>
        <w:spacing w:after="300"/>
      </w:pPr>
    </w:p>
    <w:p>
      <w:pPr>
        <w:pBdr>
          <w:bottom w:val="single" w:color="2E75B6" w:sz="6" w:space="1"/>
        </w:pBdr>
        <w:jc w:val="center"/>
      </w:pPr>
    </w:p>
    <w:p>
      <w:pPr>
        <w:spacing w:after="300"/>
      </w:pPr>
    </w:p>
    <w:p>
      <w:pPr>
        <w:spacing w:after="100"/>
        <w:jc w:val="center"/>
      </w:pPr>
      <w:r>
        <w:rPr>
          <w:rFonts w:ascii="Arial" w:cs="Arial" w:eastAsia="Arial" w:hAnsi="Arial"/>
          <w:color w:val="1B3A5C"/>
          <w:sz w:val="24"/>
          <w:szCs w:val="24"/>
        </w:rPr>
        <w:t xml:space="preserve">Plateforme Multi-Tenant de Chatbots Conversationnels Intelligents (RAG)</w:t>
      </w:r>
    </w:p>
    <w:p>
      <w:pPr>
        <w:spacing w:after="100"/>
        <w:jc w:val="center"/>
      </w:pPr>
      <w:r>
        <w:rPr>
          <w:rFonts w:ascii="Arial" w:cs="Arial" w:eastAsia="Arial" w:hAnsi="Arial"/>
          <w:color w:val="2E75B6"/>
          <w:sz w:val="24"/>
          <w:szCs w:val="24"/>
        </w:rPr>
        <w:t xml:space="preserve">Appel d’Offres N° 02/2026/CRI RSK</w:t>
      </w:r>
    </w:p>
    <w:p>
      <w:pPr>
        <w:spacing w:after="6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none" w:sz="0"/>
              <w:left w:val="none" w:sz="0"/>
              <w:bottom w:val="none" w:sz="0"/>
              <w:right w:val="none" w:sz="0"/>
            </w:tcBorders>
          </w:tcPr>
          <w:p>
            <w:r>
              <w:rPr>
                <w:rFonts w:ascii="Arial" w:cs="Arial" w:eastAsia="Arial" w:hAnsi="Arial"/>
                <w:b/>
                <w:bCs/>
                <w:color w:val="1B3A5C"/>
                <w:sz w:val="22"/>
                <w:szCs w:val="22"/>
              </w:rPr>
              <w:t xml:space="preserve">Version</w:t>
            </w:r>
          </w:p>
        </w:tc>
        <w:tc>
          <w:tcPr>
            <w:tcW w:type="dxa" w:w="3000"/>
            <w:tcBorders>
              <w:top w:val="none" w:sz="0"/>
              <w:left w:val="none" w:sz="0"/>
              <w:bottom w:val="none" w:sz="0"/>
              <w:right w:val="none" w:sz="0"/>
            </w:tcBorders>
          </w:tcPr>
          <w:p>
            <w:r>
              <w:rPr>
                <w:rFonts w:ascii="Arial" w:cs="Arial" w:eastAsia="Arial" w:hAnsi="Arial"/>
                <w:sz w:val="22"/>
                <w:szCs w:val="22"/>
              </w:rPr>
              <w:t xml:space="preserve">1.0</w:t>
            </w:r>
          </w:p>
        </w:tc>
      </w:tr>
      <w:tr>
        <w:tc>
          <w:tcPr>
            <w:tcW w:type="dxa" w:w="2400"/>
            <w:tcBorders>
              <w:top w:val="none" w:sz="0"/>
              <w:left w:val="none" w:sz="0"/>
              <w:bottom w:val="none" w:sz="0"/>
              <w:right w:val="none" w:sz="0"/>
            </w:tcBorders>
          </w:tcPr>
          <w:p>
            <w:r>
              <w:rPr>
                <w:rFonts w:ascii="Arial" w:cs="Arial" w:eastAsia="Arial" w:hAnsi="Arial"/>
                <w:b/>
                <w:bCs/>
                <w:color w:val="1B3A5C"/>
                <w:sz w:val="22"/>
                <w:szCs w:val="22"/>
              </w:rPr>
              <w:t xml:space="preserve">Date</w:t>
            </w:r>
          </w:p>
        </w:tc>
        <w:tc>
          <w:tcPr>
            <w:tcW w:type="dxa" w:w="3000"/>
            <w:tcBorders>
              <w:top w:val="none" w:sz="0"/>
              <w:left w:val="none" w:sz="0"/>
              <w:bottom w:val="none" w:sz="0"/>
              <w:right w:val="none" w:sz="0"/>
            </w:tcBorders>
          </w:tcPr>
          <w:p>
            <w:r>
              <w:rPr>
                <w:rFonts w:ascii="Arial" w:cs="Arial" w:eastAsia="Arial" w:hAnsi="Arial"/>
                <w:sz w:val="22"/>
                <w:szCs w:val="22"/>
              </w:rPr>
              <w:t xml:space="preserve">Mars 2026</w:t>
            </w:r>
          </w:p>
        </w:tc>
      </w:tr>
      <w:tr>
        <w:tc>
          <w:tcPr>
            <w:tcW w:type="dxa" w:w="2400"/>
            <w:tcBorders>
              <w:top w:val="none" w:sz="0"/>
              <w:left w:val="none" w:sz="0"/>
              <w:bottom w:val="none" w:sz="0"/>
              <w:right w:val="none" w:sz="0"/>
            </w:tcBorders>
          </w:tcPr>
          <w:p>
            <w:r>
              <w:rPr>
                <w:rFonts w:ascii="Arial" w:cs="Arial" w:eastAsia="Arial" w:hAnsi="Arial"/>
                <w:b/>
                <w:bCs/>
                <w:color w:val="1B3A5C"/>
                <w:sz w:val="22"/>
                <w:szCs w:val="22"/>
              </w:rPr>
              <w:t xml:space="preserve">Classification</w:t>
            </w:r>
          </w:p>
        </w:tc>
        <w:tc>
          <w:tcPr>
            <w:tcW w:type="dxa" w:w="3000"/>
            <w:tcBorders>
              <w:top w:val="none" w:sz="0"/>
              <w:left w:val="none" w:sz="0"/>
              <w:bottom w:val="none" w:sz="0"/>
              <w:right w:val="none" w:sz="0"/>
            </w:tcBorders>
          </w:tcPr>
          <w:p>
            <w:r>
              <w:rPr>
                <w:rFonts w:ascii="Arial" w:cs="Arial" w:eastAsia="Arial" w:hAnsi="Arial"/>
                <w:sz w:val="22"/>
                <w:szCs w:val="22"/>
              </w:rPr>
              <w:t xml:space="preserve">Confidentiel</w:t>
            </w:r>
          </w:p>
        </w:tc>
      </w:tr>
      <w:tr>
        <w:tc>
          <w:tcPr>
            <w:tcW w:type="dxa" w:w="2400"/>
            <w:tcBorders>
              <w:top w:val="none" w:sz="0"/>
              <w:left w:val="none" w:sz="0"/>
              <w:bottom w:val="none" w:sz="0"/>
              <w:right w:val="none" w:sz="0"/>
            </w:tcBorders>
          </w:tcPr>
          <w:p>
            <w:r>
              <w:rPr>
                <w:rFonts w:ascii="Arial" w:cs="Arial" w:eastAsia="Arial" w:hAnsi="Arial"/>
                <w:b/>
                <w:bCs/>
                <w:color w:val="1B3A5C"/>
                <w:sz w:val="22"/>
                <w:szCs w:val="22"/>
              </w:rPr>
              <w:t xml:space="preserve">Document parent</w:t>
            </w:r>
          </w:p>
        </w:tc>
        <w:tc>
          <w:tcPr>
            <w:tcW w:type="dxa" w:w="3000"/>
            <w:tcBorders>
              <w:top w:val="none" w:sz="0"/>
              <w:left w:val="none" w:sz="0"/>
              <w:bottom w:val="none" w:sz="0"/>
              <w:right w:val="none" w:sz="0"/>
            </w:tcBorders>
          </w:tcPr>
          <w:p>
            <w:r>
              <w:rPr>
                <w:rFonts w:ascii="Arial" w:cs="Arial" w:eastAsia="Arial" w:hAnsi="Arial"/>
                <w:sz w:val="22"/>
                <w:szCs w:val="22"/>
              </w:rPr>
              <w:t xml:space="preserve">Architecture Technique v1.0</w:t>
            </w:r>
          </w:p>
        </w:tc>
      </w:tr>
      <w:tr>
        <w:tc>
          <w:tcPr>
            <w:tcW w:type="dxa" w:w="2400"/>
            <w:tcBorders>
              <w:top w:val="none" w:sz="0"/>
              <w:left w:val="none" w:sz="0"/>
              <w:bottom w:val="none" w:sz="0"/>
              <w:right w:val="none" w:sz="0"/>
            </w:tcBorders>
          </w:tcPr>
          <w:p>
            <w:r>
              <w:rPr>
                <w:rFonts w:ascii="Arial" w:cs="Arial" w:eastAsia="Arial" w:hAnsi="Arial"/>
                <w:b/>
                <w:bCs/>
                <w:color w:val="1B3A5C"/>
                <w:sz w:val="22"/>
                <w:szCs w:val="22"/>
              </w:rPr>
              <w:t xml:space="preserve">Client initial</w:t>
            </w:r>
          </w:p>
        </w:tc>
        <w:tc>
          <w:tcPr>
            <w:tcW w:type="dxa" w:w="3000"/>
            <w:tcBorders>
              <w:top w:val="none" w:sz="0"/>
              <w:left w:val="none" w:sz="0"/>
              <w:bottom w:val="none" w:sz="0"/>
              <w:right w:val="none" w:sz="0"/>
            </w:tcBorders>
          </w:tcPr>
          <w:p>
            <w:r>
              <w:rPr>
                <w:rFonts w:ascii="Arial" w:cs="Arial" w:eastAsia="Arial" w:hAnsi="Arial"/>
                <w:sz w:val="22"/>
                <w:szCs w:val="22"/>
              </w:rPr>
              <w:t xml:space="preserve">CRI Rabat-Salé-Kénitra</w:t>
            </w:r>
          </w:p>
        </w:tc>
      </w:tr>
      <w:tr>
        <w:tc>
          <w:tcPr>
            <w:tcW w:type="dxa" w:w="2400"/>
            <w:tcBorders>
              <w:top w:val="none" w:sz="0"/>
              <w:left w:val="none" w:sz="0"/>
              <w:bottom w:val="none" w:sz="0"/>
              <w:right w:val="none" w:sz="0"/>
            </w:tcBorders>
          </w:tcPr>
          <w:p>
            <w:r>
              <w:rPr>
                <w:rFonts w:ascii="Arial" w:cs="Arial" w:eastAsia="Arial" w:hAnsi="Arial"/>
                <w:b/>
                <w:bCs/>
                <w:color w:val="1B3A5C"/>
                <w:sz w:val="22"/>
                <w:szCs w:val="22"/>
              </w:rPr>
              <w:t xml:space="preserve">Hébergeur</w:t>
            </w:r>
          </w:p>
        </w:tc>
        <w:tc>
          <w:tcPr>
            <w:tcW w:type="dxa" w:w="3000"/>
            <w:tcBorders>
              <w:top w:val="none" w:sz="0"/>
              <w:left w:val="none" w:sz="0"/>
              <w:bottom w:val="none" w:sz="0"/>
              <w:right w:val="none" w:sz="0"/>
            </w:tcBorders>
          </w:tcPr>
          <w:p>
            <w:r>
              <w:rPr>
                <w:rFonts w:ascii="Arial" w:cs="Arial" w:eastAsia="Arial" w:hAnsi="Arial"/>
                <w:sz w:val="22"/>
                <w:szCs w:val="22"/>
              </w:rPr>
              <w:t xml:space="preserve">Nindohost (Maroc)</w:t>
            </w:r>
          </w:p>
        </w:tc>
      </w:tr>
    </w:tbl>
    <w:p>
      <w:pPr>
        <w:sectPr>
          <w:pgSz w:w="11906" w:h="16838" w:orient="portrait"/>
          <w:pgMar w:top="1440" w:right="1440" w:bottom="1440" w:left="1440" w:header="708" w:footer="708" w:gutter="0"/>
          <w:pgNumType/>
          <w:docGrid w:linePitch="360"/>
        </w:sectPr>
      </w:pP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et périmètre</w:t>
      </w:r>
    </w:p>
    <w:p>
      <w:pPr>
        <w:pStyle w:val="Heading2"/>
      </w:pPr>
      <w:r>
        <w:t xml:space="preserve">1.1. Objet du document</w:t>
      </w:r>
    </w:p>
    <w:p>
      <w:pPr>
        <w:spacing w:after="120"/>
        <w:jc w:val="both"/>
      </w:pPr>
      <w:r>
        <w:rPr>
          <w:rFonts w:ascii="Arial" w:cs="Arial" w:eastAsia="Arial" w:hAnsi="Arial"/>
          <w:sz w:val="22"/>
          <w:szCs w:val="22"/>
        </w:rPr>
        <w:t xml:space="preserve">Ce document constitue l’annexe sécurité de l’architecture technique de la plateforme multi-tenant de chatbots conversationnels intelligents (RAG) développée pour les Centres Régionaux d’Investissement (CRI) du Maroc, dans le cadre de l’Appel d’Offres N° 02/2026/CRI RSK.</w:t>
      </w:r>
    </w:p>
    <w:p>
      <w:pPr>
        <w:spacing w:after="120"/>
        <w:jc w:val="both"/>
      </w:pPr>
      <w:r>
        <w:rPr>
          <w:rFonts w:ascii="Arial" w:cs="Arial" w:eastAsia="Arial" w:hAnsi="Arial"/>
          <w:sz w:val="22"/>
          <w:szCs w:val="22"/>
        </w:rPr>
        <w:t xml:space="preserve">Il complète la section 8.2 du document d’architecture principal en détaillant l’ensemble des mesures de sécurité retenues, adaptées ou écartées, avec les justifications techniques et réglementaires associées.</w:t>
      </w:r>
    </w:p>
    <w:p>
      <w:pPr>
        <w:pStyle w:val="Heading2"/>
      </w:pPr>
      <w:r>
        <w:t xml:space="preserve">1.2. Contexte sécuritaire</w:t>
      </w:r>
    </w:p>
    <w:p>
      <w:pPr>
        <w:spacing w:after="120"/>
        <w:jc w:val="both"/>
      </w:pPr>
      <w:r>
        <w:rPr>
          <w:rFonts w:ascii="Arial" w:cs="Arial" w:eastAsia="Arial" w:hAnsi="Arial"/>
          <w:sz w:val="22"/>
          <w:szCs w:val="22"/>
        </w:rPr>
        <w:t xml:space="preserve">La plateforme présente un profil de risque spécifique lié à plusieurs facteurs : l’exposition publique via WhatsApp Business API (canal d’entrée ouvert), le traitement de données personnelles sensibles (CIN, dossiers d’investissement, contacts), l’utilisation d’un LLM cloud (Google Gemini 2.5 Flash), et l’architecture multi-tenant nécessitant une isolation stricte entre CRI régionaux.</w:t>
      </w:r>
    </w:p>
    <w:p>
      <w:pPr>
        <w:spacing w:after="120"/>
        <w:jc w:val="both"/>
      </w:pPr>
      <w:r>
        <w:rPr>
          <w:rFonts w:ascii="Arial" w:cs="Arial" w:eastAsia="Arial" w:hAnsi="Arial"/>
          <w:sz w:val="22"/>
          <w:szCs w:val="22"/>
        </w:rPr>
        <w:t xml:space="preserve">Le cadre réglementaire applicable est la loi marocaine 09-08 relative à la protection des personnes physiques à l’égard du traitement des données à caractère personnel, supervisée par la Commission Nationale de contrôle de la protection des Données à caractère Personnel (CNDP).</w:t>
      </w:r>
    </w:p>
    <w:p>
      <w:pPr>
        <w:pStyle w:val="Heading2"/>
      </w:pPr>
      <w:r>
        <w:t xml:space="preserve">1.3. Documents de référence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Référence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Document</w:t>
            </w:r>
          </w:p>
        </w:tc>
        <w:tc>
          <w:tcPr>
            <w:tcW w:type="dxa" w:w="4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Pertinence sécurité</w:t>
            </w:r>
          </w:p>
        </w:tc>
      </w:tr>
      <w:tr>
        <w:tc>
          <w:tcPr>
            <w:tcW w:type="dxa" w:w="1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CPS Art. 25, §2</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Cahier des Prescriptions Spéciales</w:t>
            </w:r>
          </w:p>
        </w:tc>
        <w:tc>
          <w:tcPr>
            <w:tcW w:type="dxa" w:w="4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Chiffrement, CNDP, audit, séparation accès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CPS Art. 25, §1</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Exigences d’hébergement</w:t>
            </w:r>
          </w:p>
        </w:tc>
        <w:tc>
          <w:tcPr>
            <w:tcW w:type="dxa" w:w="4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Données sensibles au Maroc (Nindohost)</w:t>
            </w:r>
          </w:p>
        </w:tc>
      </w:tr>
      <w:tr>
        <w:tc>
          <w:tcPr>
            <w:tcW w:type="dxa" w:w="1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R5</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Clarification infrastructure</w:t>
            </w:r>
          </w:p>
        </w:tc>
        <w:tc>
          <w:tcPr>
            <w:tcW w:type="dxa" w:w="4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Serveurs virtualisés sans GPU, LLM cloud accepté</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R7</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Clarification accès</w:t>
            </w:r>
          </w:p>
        </w:tc>
        <w:tc>
          <w:tcPr>
            <w:tcW w:type="dxa" w:w="4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Accès distant via VPN et SSH</w:t>
            </w:r>
          </w:p>
        </w:tc>
      </w:tr>
      <w:tr>
        <w:tc>
          <w:tcPr>
            <w:tcW w:type="dxa" w:w="1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R12</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Clarification authentification</w:t>
            </w:r>
          </w:p>
        </w:tc>
        <w:tc>
          <w:tcPr>
            <w:tcW w:type="dxa" w:w="4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Email/mot de passe suffisant pour back-office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Loi 09-08</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Protection des données personnelles</w:t>
            </w:r>
          </w:p>
        </w:tc>
        <w:tc>
          <w:tcPr>
            <w:tcW w:type="dxa" w:w="4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Cadre légal CNDP applicable</w:t>
            </w:r>
          </w:p>
        </w:tc>
      </w:tr>
    </w:tbl>
    <w:p>
      <w:pPr>
        <w:spacing w:after="200"/>
      </w:pPr>
    </w:p>
    <w:p>
      <w:pPr>
        <w:pStyle w:val="Heading2"/>
      </w:pPr>
      <w:r>
        <w:t xml:space="preserve">1.4. Principes directeurs</w:t>
      </w:r>
    </w:p>
    <w:p>
      <w:pPr>
        <w:spacing w:after="120"/>
        <w:jc w:val="both"/>
      </w:pPr>
      <w:r>
        <w:rPr>
          <w:rFonts w:ascii="Arial" w:cs="Arial" w:eastAsia="Arial" w:hAnsi="Arial"/>
          <w:sz w:val="22"/>
          <w:szCs w:val="22"/>
        </w:rPr>
        <w:t xml:space="preserve">La stratégie de sécurité repose sur quatre principes directeurs qui guident toutes les décisions techniques :</w:t>
      </w:r>
    </w:p>
    <w:p>
      <w:pPr>
        <w:pStyle w:val="ListParagraph"/>
        <w:numPr>
          <w:ilvl w:val="0"/>
          <w:numId w:val="2"/>
        </w:numPr>
        <w:spacing w:after="80"/>
      </w:pPr>
      <w:r>
        <w:rPr>
          <w:rFonts w:ascii="Arial" w:cs="Arial" w:eastAsia="Arial" w:hAnsi="Arial"/>
          <w:b/>
          <w:bCs/>
          <w:sz w:val="22"/>
          <w:szCs w:val="22"/>
        </w:rPr>
        <w:t xml:space="preserve">Proportionnalité : </w:t>
      </w:r>
      <w:r>
        <w:rPr>
          <w:rFonts w:ascii="Arial" w:cs="Arial" w:eastAsia="Arial" w:hAnsi="Arial"/>
          <w:sz w:val="22"/>
          <w:szCs w:val="22"/>
        </w:rPr>
        <w:t xml:space="preserve">chaque mesure est calibrée au niveau de risque réel et à la capacité de l’infrastructure Nindohost (VPS standard, pas de GPU, pas de HSM matériel).</w:t>
      </w:r>
    </w:p>
    <w:p>
      <w:pPr>
        <w:pStyle w:val="ListParagraph"/>
        <w:numPr>
          <w:ilvl w:val="0"/>
          <w:numId w:val="2"/>
        </w:numPr>
        <w:spacing w:after="80"/>
      </w:pPr>
      <w:r>
        <w:rPr>
          <w:rFonts w:ascii="Arial" w:cs="Arial" w:eastAsia="Arial" w:hAnsi="Arial"/>
          <w:b/>
          <w:bCs/>
          <w:sz w:val="22"/>
          <w:szCs w:val="22"/>
        </w:rPr>
        <w:t xml:space="preserve">Défense en profondeur : </w:t>
      </w:r>
      <w:r>
        <w:rPr>
          <w:rFonts w:ascii="Arial" w:cs="Arial" w:eastAsia="Arial" w:hAnsi="Arial"/>
          <w:sz w:val="22"/>
          <w:szCs w:val="22"/>
        </w:rPr>
        <w:t xml:space="preserve">plusieurs couches de sécurité indépendantes (réseau, application, données, IA) de sorte qu’une brèche dans une couche ne compromette pas l’ensemble.</w:t>
      </w:r>
    </w:p>
    <w:p>
      <w:pPr>
        <w:pStyle w:val="ListParagraph"/>
        <w:numPr>
          <w:ilvl w:val="0"/>
          <w:numId w:val="2"/>
        </w:numPr>
        <w:spacing w:after="80"/>
      </w:pPr>
      <w:r>
        <w:rPr>
          <w:rFonts w:ascii="Arial" w:cs="Arial" w:eastAsia="Arial" w:hAnsi="Arial"/>
          <w:b/>
          <w:bCs/>
          <w:sz w:val="22"/>
          <w:szCs w:val="22"/>
        </w:rPr>
        <w:t xml:space="preserve">Conformité CPS : </w:t>
      </w:r>
      <w:r>
        <w:rPr>
          <w:rFonts w:ascii="Arial" w:cs="Arial" w:eastAsia="Arial" w:hAnsi="Arial"/>
          <w:sz w:val="22"/>
          <w:szCs w:val="22"/>
        </w:rPr>
        <w:t xml:space="preserve">toute mesure retenue doit être vérifiable par rapport aux exigences contractuelles du CPS et ne pas contredire les clarifications R1-R14.</w:t>
      </w:r>
    </w:p>
    <w:p>
      <w:pPr>
        <w:pStyle w:val="ListParagraph"/>
        <w:numPr>
          <w:ilvl w:val="0"/>
          <w:numId w:val="2"/>
        </w:numPr>
        <w:spacing w:after="80"/>
      </w:pPr>
      <w:r>
        <w:rPr>
          <w:rFonts w:ascii="Arial" w:cs="Arial" w:eastAsia="Arial" w:hAnsi="Arial"/>
          <w:b/>
          <w:bCs/>
          <w:sz w:val="22"/>
          <w:szCs w:val="22"/>
        </w:rPr>
        <w:t xml:space="preserve">Multi-tenant first : </w:t>
      </w:r>
      <w:r>
        <w:rPr>
          <w:rFonts w:ascii="Arial" w:cs="Arial" w:eastAsia="Arial" w:hAnsi="Arial"/>
          <w:sz w:val="22"/>
          <w:szCs w:val="22"/>
        </w:rPr>
        <w:t xml:space="preserve">l’isolation entre tenants est une exigence de sécurité de premier ordre, traitée comme un invariant dans chaque couche.</w:t>
      </w:r>
    </w:p>
    <w:p>
      <w:r>
        <w:br w:type="page"/>
      </w:r>
    </w:p>
    <w:p>
      <w:pPr>
        <w:pStyle w:val="Heading1"/>
      </w:pPr>
      <w:r>
        <w:t xml:space="preserve">2. Analyse des risques spécifiques</w:t>
      </w:r>
    </w:p>
    <w:p>
      <w:pPr>
        <w:spacing w:after="120"/>
        <w:jc w:val="both"/>
      </w:pPr>
      <w:r>
        <w:rPr>
          <w:rFonts w:ascii="Arial" w:cs="Arial" w:eastAsia="Arial" w:hAnsi="Arial"/>
          <w:sz w:val="22"/>
          <w:szCs w:val="22"/>
        </w:rPr>
        <w:t xml:space="preserve">Cette section identifie les risques de sécurité propres à la plateforme, classés par domaine. Chaque risque est évalué en termes de probabilité, d’impact et de priorité de traitement.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200"/>
        <w:gridCol w:w="1100"/>
        <w:gridCol w:w="900"/>
        <w:gridCol w:w="1026"/>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Domaine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Risque</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Probabilité</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w:t>
            </w:r>
          </w:p>
        </w:tc>
        <w:tc>
          <w:tcPr>
            <w:tcW w:type="dxa" w:w="1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Priorité</w:t>
            </w:r>
          </w:p>
        </w:tc>
      </w:tr>
      <w:tr>
        <w:tc>
          <w:tcPr>
            <w:tcW w:type="dxa" w:w="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R01</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IA/LLM</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Injection de prompt (jailbreak du chatbot)</w:t>
            </w:r>
          </w:p>
        </w:tc>
        <w:tc>
          <w:tcPr>
            <w:tcW w:type="dxa" w:w="11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Haute</w:t>
            </w:r>
          </w:p>
        </w:tc>
        <w:tc>
          <w:tcPr>
            <w:tcW w:type="dxa" w:w="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Haut</w:t>
            </w:r>
          </w:p>
        </w:tc>
        <w:tc>
          <w:tcPr>
            <w:tcW w:type="dxa" w:w="1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Critique</w:t>
            </w:r>
          </w:p>
        </w:tc>
      </w:tr>
      <w:tr>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R02</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IA/LLM</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Hallucination avec données fausses ou sensibles</w:t>
            </w:r>
          </w:p>
        </w:tc>
        <w:tc>
          <w:tcPr>
            <w:tcW w:type="dxa" w:w="1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Moyenne</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Haut</w:t>
            </w:r>
          </w:p>
        </w:tc>
        <w:tc>
          <w:tcPr>
            <w:tcW w:type="dxa" w:w="1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Critique</w:t>
            </w:r>
          </w:p>
        </w:tc>
      </w:tr>
      <w:tr>
        <w:tc>
          <w:tcPr>
            <w:tcW w:type="dxa" w:w="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R03</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IA/LLM</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Fuite de PII dans les réponses générées</w:t>
            </w:r>
          </w:p>
        </w:tc>
        <w:tc>
          <w:tcPr>
            <w:tcW w:type="dxa" w:w="11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Moyenne</w:t>
            </w:r>
          </w:p>
        </w:tc>
        <w:tc>
          <w:tcPr>
            <w:tcW w:type="dxa" w:w="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Haut</w:t>
            </w:r>
          </w:p>
        </w:tc>
        <w:tc>
          <w:tcPr>
            <w:tcW w:type="dxa" w:w="1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Critique</w:t>
            </w:r>
          </w:p>
        </w:tc>
      </w:tr>
      <w:tr>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R04</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IA/LLM</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Exfiltration de données via prompts détournés</w:t>
            </w:r>
          </w:p>
        </w:tc>
        <w:tc>
          <w:tcPr>
            <w:tcW w:type="dxa" w:w="1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Basse</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Haut</w:t>
            </w:r>
          </w:p>
        </w:tc>
        <w:tc>
          <w:tcPr>
            <w:tcW w:type="dxa" w:w="1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Haute</w:t>
            </w:r>
          </w:p>
        </w:tc>
      </w:tr>
      <w:tr>
        <w:tc>
          <w:tcPr>
            <w:tcW w:type="dxa" w:w="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R05</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Multi-tenant</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Accès cross-tenant (données d’un CRI visibles par un autre)</w:t>
            </w:r>
          </w:p>
        </w:tc>
        <w:tc>
          <w:tcPr>
            <w:tcW w:type="dxa" w:w="11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Basse</w:t>
            </w:r>
          </w:p>
        </w:tc>
        <w:tc>
          <w:tcPr>
            <w:tcW w:type="dxa" w:w="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Critique</w:t>
            </w:r>
          </w:p>
        </w:tc>
        <w:tc>
          <w:tcPr>
            <w:tcW w:type="dxa" w:w="1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Critique</w:t>
            </w:r>
          </w:p>
        </w:tc>
      </w:tr>
      <w:tr>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R06</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Multi-tenant</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Fuite de clés API/tokens d’un tenant</w:t>
            </w:r>
          </w:p>
        </w:tc>
        <w:tc>
          <w:tcPr>
            <w:tcW w:type="dxa" w:w="1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Basse</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Haut</w:t>
            </w:r>
          </w:p>
        </w:tc>
        <w:tc>
          <w:tcPr>
            <w:tcW w:type="dxa" w:w="1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Haute</w:t>
            </w:r>
          </w:p>
        </w:tc>
      </w:tr>
      <w:tr>
        <w:tc>
          <w:tcPr>
            <w:tcW w:type="dxa" w:w="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R07</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API</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BOLA/IDOR (accès au dossier d’un autre investisseur)</w:t>
            </w:r>
          </w:p>
        </w:tc>
        <w:tc>
          <w:tcPr>
            <w:tcW w:type="dxa" w:w="11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Haute</w:t>
            </w:r>
          </w:p>
        </w:tc>
        <w:tc>
          <w:tcPr>
            <w:tcW w:type="dxa" w:w="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Haut</w:t>
            </w:r>
          </w:p>
        </w:tc>
        <w:tc>
          <w:tcPr>
            <w:tcW w:type="dxa" w:w="1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Critique</w:t>
            </w:r>
          </w:p>
        </w:tc>
      </w:tr>
      <w:tr>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R08</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API</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Webhook WhatsApp forgé (usurpation de messages)</w:t>
            </w:r>
          </w:p>
        </w:tc>
        <w:tc>
          <w:tcPr>
            <w:tcW w:type="dxa" w:w="1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Moyenne</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Haut</w:t>
            </w:r>
          </w:p>
        </w:tc>
        <w:tc>
          <w:tcPr>
            <w:tcW w:type="dxa" w:w="1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Critique</w:t>
            </w:r>
          </w:p>
        </w:tc>
      </w:tr>
      <w:tr>
        <w:tc>
          <w:tcPr>
            <w:tcW w:type="dxa" w:w="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R09</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API</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Déni de service / abus de l’API publique</w:t>
            </w:r>
          </w:p>
        </w:tc>
        <w:tc>
          <w:tcPr>
            <w:tcW w:type="dxa" w:w="11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Haute</w:t>
            </w:r>
          </w:p>
        </w:tc>
        <w:tc>
          <w:tcPr>
            <w:tcW w:type="dxa" w:w="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Moyen</w:t>
            </w:r>
          </w:p>
        </w:tc>
        <w:tc>
          <w:tcPr>
            <w:tcW w:type="dxa" w:w="1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Haute</w:t>
            </w:r>
          </w:p>
        </w:tc>
      </w:tr>
      <w:tr>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R10</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Données</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Accès non autorisé aux données au repos</w:t>
            </w:r>
          </w:p>
        </w:tc>
        <w:tc>
          <w:tcPr>
            <w:tcW w:type="dxa" w:w="1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Basse</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Haut</w:t>
            </w:r>
          </w:p>
        </w:tc>
        <w:tc>
          <w:tcPr>
            <w:tcW w:type="dxa" w:w="1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Haute</w:t>
            </w:r>
          </w:p>
        </w:tc>
      </w:tr>
      <w:tr>
        <w:tc>
          <w:tcPr>
            <w:tcW w:type="dxa" w:w="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R11</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Données</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Violation CNDP (données hors Maroc)</w:t>
            </w:r>
          </w:p>
        </w:tc>
        <w:tc>
          <w:tcPr>
            <w:tcW w:type="dxa" w:w="11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Basse</w:t>
            </w:r>
          </w:p>
        </w:tc>
        <w:tc>
          <w:tcPr>
            <w:tcW w:type="dxa" w:w="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Critique</w:t>
            </w:r>
          </w:p>
        </w:tc>
        <w:tc>
          <w:tcPr>
            <w:tcW w:type="dxa" w:w="1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Critique</w:t>
            </w:r>
          </w:p>
        </w:tc>
      </w:tr>
      <w:tr>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R12</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Import</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Fichier Excel/CSV malveillant (macros, injection)</w:t>
            </w:r>
          </w:p>
        </w:tc>
        <w:tc>
          <w:tcPr>
            <w:tcW w:type="dxa" w:w="1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Moyenne</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Moyen</w:t>
            </w:r>
          </w:p>
        </w:tc>
        <w:tc>
          <w:tcPr>
            <w:tcW w:type="dxa" w:w="1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Haute</w:t>
            </w:r>
          </w:p>
        </w:tc>
      </w:tr>
      <w:tr>
        <w:tc>
          <w:tcPr>
            <w:tcW w:type="dxa" w:w="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R13</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Accès</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Compromission de compte admin back-office</w:t>
            </w:r>
          </w:p>
        </w:tc>
        <w:tc>
          <w:tcPr>
            <w:tcW w:type="dxa" w:w="11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Basse</w:t>
            </w:r>
          </w:p>
        </w:tc>
        <w:tc>
          <w:tcPr>
            <w:tcW w:type="dxa" w:w="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Haut</w:t>
            </w:r>
          </w:p>
        </w:tc>
        <w:tc>
          <w:tcPr>
            <w:tcW w:type="dxa" w:w="1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Haute</w:t>
            </w:r>
          </w:p>
        </w:tc>
      </w:tr>
      <w:tr>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R14</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Réseau</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Interception de communications inter-services</w:t>
            </w:r>
          </w:p>
        </w:tc>
        <w:tc>
          <w:tcPr>
            <w:tcW w:type="dxa" w:w="1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Basse</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Moyen</w:t>
            </w:r>
          </w:p>
        </w:tc>
        <w:tc>
          <w:tcPr>
            <w:tcW w:type="dxa" w:w="1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Moyenne</w:t>
            </w:r>
          </w:p>
        </w:tc>
      </w:tr>
      <w:tr>
        <w:tc>
          <w:tcPr>
            <w:tcW w:type="dxa" w:w="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R15</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Audit</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Suppression de traces après intrusion</w:t>
            </w:r>
          </w:p>
        </w:tc>
        <w:tc>
          <w:tcPr>
            <w:tcW w:type="dxa" w:w="11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Basse</w:t>
            </w:r>
          </w:p>
        </w:tc>
        <w:tc>
          <w:tcPr>
            <w:tcW w:type="dxa" w:w="9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Haut</w:t>
            </w:r>
          </w:p>
        </w:tc>
        <w:tc>
          <w:tcPr>
            <w:tcW w:type="dxa" w:w="1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Haute</w:t>
            </w:r>
          </w:p>
        </w:tc>
      </w:tr>
    </w:tbl>
    <w:p>
      <w:r>
        <w:br w:type="page"/>
      </w:r>
    </w:p>
    <w:p>
      <w:pPr>
        <w:pStyle w:val="Heading1"/>
      </w:pPr>
      <w:r>
        <w:t xml:space="preserve">3. Mesures de sécurité retenues</w:t>
      </w:r>
    </w:p>
    <w:p>
      <w:pPr>
        <w:spacing w:after="120"/>
        <w:jc w:val="both"/>
      </w:pPr>
      <w:r>
        <w:rPr>
          <w:rFonts w:ascii="Arial" w:cs="Arial" w:eastAsia="Arial" w:hAnsi="Arial"/>
          <w:sz w:val="22"/>
          <w:szCs w:val="22"/>
        </w:rPr>
        <w:t xml:space="preserve">Les mesures ci-dessous sont organisées en 6 domaines. Pour chaque mesure, le tableau indique les risques couverts, la phase d’implémentation et les spécifications techniques.</w:t>
      </w:r>
    </w:p>
    <w:p>
      <w:pPr>
        <w:pStyle w:val="Heading2"/>
      </w:pPr>
      <w:r>
        <w:t xml:space="preserve">3.1. Sécurité IA et Guardrails conversationnels</w:t>
      </w:r>
    </w:p>
    <w:p>
      <w:pPr>
        <w:spacing w:after="120"/>
        <w:jc w:val="both"/>
      </w:pPr>
      <w:r>
        <w:rPr>
          <w:rFonts w:ascii="Arial" w:cs="Arial" w:eastAsia="Arial" w:hAnsi="Arial"/>
          <w:sz w:val="22"/>
          <w:szCs w:val="22"/>
        </w:rPr>
        <w:t xml:space="preserve">La protection du pipeline LLM constitue la première ligne de défense de la plateforme. Le module Guardrails est intégré au graphe LangGraph en tant que nœuds dédiés (IntentDetector pour l’entrée, ResponseValidator pour la sortie).</w:t>
      </w:r>
    </w:p>
    <w:p>
      <w:pPr>
        <w:pStyle w:val="Heading3"/>
      </w:pPr>
      <w:r>
        <w:t xml:space="preserve">3.1.1. Protection contre l’injection de prompt</w:t>
      </w:r>
    </w:p>
    <w:p>
      <w:pPr>
        <w:spacing w:after="120"/>
        <w:jc w:val="both"/>
      </w:pPr>
      <w:r>
        <w:rPr>
          <w:rFonts w:ascii="Arial" w:cs="Arial" w:eastAsia="Arial" w:hAnsi="Arial"/>
          <w:b/>
          <w:bCs/>
          <w:sz w:val="22"/>
          <w:szCs w:val="22"/>
        </w:rPr>
        <w:t xml:space="preserve">Risques couverts : </w:t>
      </w:r>
      <w:r>
        <w:rPr>
          <w:rFonts w:ascii="Arial" w:cs="Arial" w:eastAsia="Arial" w:hAnsi="Arial"/>
          <w:sz w:val="22"/>
          <w:szCs w:val="22"/>
        </w:rPr>
        <w:t xml:space="preserve">R01, R04</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1 (semaines 1-8)</w:t>
      </w:r>
    </w:p>
    <w:p>
      <w:pPr>
        <w:spacing w:after="120"/>
        <w:jc w:val="both"/>
      </w:pPr>
      <w:r>
        <w:rPr>
          <w:rFonts w:ascii="Arial" w:cs="Arial" w:eastAsia="Arial" w:hAnsi="Arial"/>
          <w:b/>
          <w:bCs/>
          <w:sz w:val="22"/>
          <w:szCs w:val="22"/>
        </w:rPr>
        <w:t xml:space="preserve">Approche : </w:t>
      </w:r>
      <w:r>
        <w:rPr>
          <w:rFonts w:ascii="Arial" w:cs="Arial" w:eastAsia="Arial" w:hAnsi="Arial"/>
          <w:sz w:val="22"/>
          <w:szCs w:val="22"/>
        </w:rPr>
        <w:t xml:space="preserve">Module custom intégré au nœud IntentDetector de LangGraph (pas de dépendance externe type NeMo Guardrails pour éviter l’overhead de latence incompatible avec le SLA &lt; 2s).</w:t>
      </w:r>
    </w:p>
    <w:p>
      <w:pPr>
        <w:spacing w:after="120"/>
        <w:jc w:val="both"/>
      </w:pPr>
      <w:r>
        <w:rPr>
          <w:rFonts w:ascii="Arial" w:cs="Arial" w:eastAsia="Arial" w:hAnsi="Arial"/>
          <w:sz w:val="22"/>
          <w:szCs w:val="22"/>
        </w:rPr>
        <w:t xml:space="preserve">Spécifications techniques :</w:t>
      </w:r>
    </w:p>
    <w:p>
      <w:pPr>
        <w:pStyle w:val="ListParagraph"/>
        <w:numPr>
          <w:ilvl w:val="0"/>
          <w:numId w:val="2"/>
        </w:numPr>
        <w:spacing w:after="80"/>
      </w:pPr>
      <w:r>
        <w:rPr>
          <w:rFonts w:ascii="Arial" w:cs="Arial" w:eastAsia="Arial" w:hAnsi="Arial"/>
          <w:b/>
          <w:bCs/>
          <w:sz w:val="22"/>
          <w:szCs w:val="22"/>
        </w:rPr>
        <w:t xml:space="preserve">Classificateur d’intention : </w:t>
      </w:r>
      <w:r>
        <w:rPr>
          <w:rFonts w:ascii="Arial" w:cs="Arial" w:eastAsia="Arial" w:hAnsi="Arial"/>
          <w:sz w:val="22"/>
          <w:szCs w:val="22"/>
        </w:rPr>
        <w:t xml:space="preserve">appel Gemini 2.5 Flash avec un prompt système spécialisé qui classifie chaque message entrant (FAQ, suivi dossier, incitations, hors-périmètre, injection). Coût : ~50 tokens par classification.</w:t>
      </w:r>
    </w:p>
    <w:p>
      <w:pPr>
        <w:pStyle w:val="ListParagraph"/>
        <w:numPr>
          <w:ilvl w:val="0"/>
          <w:numId w:val="2"/>
        </w:numPr>
        <w:spacing w:after="80"/>
      </w:pPr>
      <w:r>
        <w:rPr>
          <w:rFonts w:ascii="Arial" w:cs="Arial" w:eastAsia="Arial" w:hAnsi="Arial"/>
          <w:b/>
          <w:bCs/>
          <w:sz w:val="22"/>
          <w:szCs w:val="22"/>
        </w:rPr>
        <w:t xml:space="preserve">Détection de patterns : </w:t>
      </w:r>
      <w:r>
        <w:rPr>
          <w:rFonts w:ascii="Arial" w:cs="Arial" w:eastAsia="Arial" w:hAnsi="Arial"/>
          <w:sz w:val="22"/>
          <w:szCs w:val="22"/>
        </w:rPr>
        <w:t xml:space="preserve">liste de patterns regex maintenue en configuration (tentatives de role-play, instructions contradictoires au system prompt, demandes d’ignorer les consignes).</w:t>
      </w:r>
    </w:p>
    <w:p>
      <w:pPr>
        <w:pStyle w:val="ListParagraph"/>
        <w:numPr>
          <w:ilvl w:val="0"/>
          <w:numId w:val="2"/>
        </w:numPr>
        <w:spacing w:after="80"/>
      </w:pPr>
      <w:r>
        <w:rPr>
          <w:rFonts w:ascii="Arial" w:cs="Arial" w:eastAsia="Arial" w:hAnsi="Arial"/>
          <w:b/>
          <w:bCs/>
          <w:sz w:val="22"/>
          <w:szCs w:val="22"/>
        </w:rPr>
        <w:t xml:space="preserve">Refus gracieux : </w:t>
      </w:r>
      <w:r>
        <w:rPr>
          <w:rFonts w:ascii="Arial" w:cs="Arial" w:eastAsia="Arial" w:hAnsi="Arial"/>
          <w:sz w:val="22"/>
          <w:szCs w:val="22"/>
        </w:rPr>
        <w:t xml:space="preserve">en cas de détection d’injection, le chatbot répond avec un message institutionnel prédéfini et log l’événement dans l’audit trail.</w:t>
      </w:r>
    </w:p>
    <w:p>
      <w:pPr>
        <w:pStyle w:val="ListParagraph"/>
        <w:numPr>
          <w:ilvl w:val="0"/>
          <w:numId w:val="2"/>
        </w:numPr>
        <w:spacing w:after="80"/>
      </w:pPr>
      <w:r>
        <w:rPr>
          <w:rFonts w:ascii="Arial" w:cs="Arial" w:eastAsia="Arial" w:hAnsi="Arial"/>
          <w:b/>
          <w:bCs/>
          <w:sz w:val="22"/>
          <w:szCs w:val="22"/>
        </w:rPr>
        <w:t xml:space="preserve">Sandboxing du contexte : </w:t>
      </w:r>
      <w:r>
        <w:rPr>
          <w:rFonts w:ascii="Arial" w:cs="Arial" w:eastAsia="Arial" w:hAnsi="Arial"/>
          <w:sz w:val="22"/>
          <w:szCs w:val="22"/>
        </w:rPr>
        <w:t xml:space="preserve">le prompt système est structuré avec des délimiteurs clairs (balises XML) séparant les instructions système, les chunks RAG et le message utilisateur, empêchant l’évasion de contexte.</w:t>
      </w:r>
    </w:p>
    <w:p>
      <w:pPr>
        <w:pStyle w:val="Heading3"/>
      </w:pPr>
      <w:r>
        <w:t xml:space="preserve">3.1.2. Masquage des données personnelles (PII)</w:t>
      </w:r>
    </w:p>
    <w:p>
      <w:pPr>
        <w:spacing w:after="120"/>
        <w:jc w:val="both"/>
      </w:pPr>
      <w:r>
        <w:rPr>
          <w:rFonts w:ascii="Arial" w:cs="Arial" w:eastAsia="Arial" w:hAnsi="Arial"/>
          <w:b/>
          <w:bCs/>
          <w:sz w:val="22"/>
          <w:szCs w:val="22"/>
        </w:rPr>
        <w:t xml:space="preserve">Risques couverts : </w:t>
      </w:r>
      <w:r>
        <w:rPr>
          <w:rFonts w:ascii="Arial" w:cs="Arial" w:eastAsia="Arial" w:hAnsi="Arial"/>
          <w:sz w:val="22"/>
          <w:szCs w:val="22"/>
        </w:rPr>
        <w:t xml:space="preserve">R03, R11</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1</w:t>
      </w:r>
    </w:p>
    <w:p>
      <w:pPr>
        <w:spacing w:after="120"/>
        <w:jc w:val="both"/>
      </w:pPr>
      <w:r>
        <w:rPr>
          <w:rFonts w:ascii="Arial" w:cs="Arial" w:eastAsia="Arial" w:hAnsi="Arial"/>
          <w:sz w:val="22"/>
          <w:szCs w:val="22"/>
        </w:rPr>
        <w:t xml:space="preserve">Le masquage PII opère en deux points du pipeline :</w:t>
      </w:r>
    </w:p>
    <w:p>
      <w:pPr>
        <w:pStyle w:val="ListParagraph"/>
        <w:numPr>
          <w:ilvl w:val="0"/>
          <w:numId w:val="2"/>
        </w:numPr>
        <w:spacing w:after="80"/>
      </w:pPr>
      <w:r>
        <w:rPr>
          <w:rFonts w:ascii="Arial" w:cs="Arial" w:eastAsia="Arial" w:hAnsi="Arial"/>
          <w:b/>
          <w:bCs/>
          <w:sz w:val="22"/>
          <w:szCs w:val="22"/>
        </w:rPr>
        <w:t xml:space="preserve">Pré-LLM (anonymisation) : </w:t>
      </w:r>
      <w:r>
        <w:rPr>
          <w:rFonts w:ascii="Arial" w:cs="Arial" w:eastAsia="Arial" w:hAnsi="Arial"/>
          <w:sz w:val="22"/>
          <w:szCs w:val="22"/>
        </w:rPr>
        <w:t xml:space="preserve">avant d’envoyer les chunks RAG à Gemini, un filtre d’anonymisation remplace les CIN, numéros de téléphone, et montants d’investissement par des tokens génériques ([CIN_MASQUÉ], [TÉL_MASQUÉ]). Cela garantit que les données sensibles ne quittent jamais les serveurs Nindohost vers l’API Gemini.</w:t>
      </w:r>
    </w:p>
    <w:p>
      <w:pPr>
        <w:pStyle w:val="ListParagraph"/>
        <w:numPr>
          <w:ilvl w:val="0"/>
          <w:numId w:val="2"/>
        </w:numPr>
        <w:spacing w:after="80"/>
      </w:pPr>
      <w:r>
        <w:rPr>
          <w:rFonts w:ascii="Arial" w:cs="Arial" w:eastAsia="Arial" w:hAnsi="Arial"/>
          <w:b/>
          <w:bCs/>
          <w:sz w:val="22"/>
          <w:szCs w:val="22"/>
        </w:rPr>
        <w:t xml:space="preserve">Post-LLM (filtrage de sortie) : </w:t>
      </w:r>
      <w:r>
        <w:rPr>
          <w:rFonts w:ascii="Arial" w:cs="Arial" w:eastAsia="Arial" w:hAnsi="Arial"/>
          <w:sz w:val="22"/>
          <w:szCs w:val="22"/>
        </w:rPr>
        <w:t xml:space="preserve">le nœud ResponseValidator applique des regex de détection de patterns marocains avant d’envoyer la réponse à l’utilisateur WhatsApp.</w:t>
      </w:r>
    </w:p>
    <w:p>
      <w:pPr>
        <w:spacing w:after="120"/>
        <w:jc w:val="both"/>
      </w:pPr>
      <w:r>
        <w:rPr>
          <w:rFonts w:ascii="Arial" w:cs="Arial" w:eastAsia="Arial" w:hAnsi="Arial"/>
          <w:sz w:val="22"/>
          <w:szCs w:val="22"/>
        </w:rPr>
        <w:t xml:space="preserve">Patterns détectés :</w:t>
      </w:r>
    </w:p>
    <w:p>
      <w:pPr>
        <w:pStyle w:val="ListParagraph"/>
        <w:numPr>
          <w:ilvl w:val="0"/>
          <w:numId w:val="2"/>
        </w:numPr>
        <w:spacing w:after="80"/>
      </w:pPr>
      <w:r>
        <w:rPr>
          <w:rFonts w:ascii="Arial" w:cs="Arial" w:eastAsia="Arial" w:hAnsi="Arial"/>
          <w:sz w:val="22"/>
          <w:szCs w:val="22"/>
        </w:rPr>
        <w:t xml:space="preserve">CIN marocain : 1-2 lettres majuscules + 5-6 chiffres (ex: AB123456)</w:t>
      </w:r>
    </w:p>
    <w:p>
      <w:pPr>
        <w:pStyle w:val="ListParagraph"/>
        <w:numPr>
          <w:ilvl w:val="0"/>
          <w:numId w:val="2"/>
        </w:numPr>
        <w:spacing w:after="80"/>
      </w:pPr>
      <w:r>
        <w:rPr>
          <w:rFonts w:ascii="Arial" w:cs="Arial" w:eastAsia="Arial" w:hAnsi="Arial"/>
          <w:sz w:val="22"/>
          <w:szCs w:val="22"/>
        </w:rPr>
        <w:t xml:space="preserve">Téléphone marocain : +212, 06, 07 suivi de 8 chiffres</w:t>
      </w:r>
    </w:p>
    <w:p>
      <w:pPr>
        <w:pStyle w:val="ListParagraph"/>
        <w:numPr>
          <w:ilvl w:val="0"/>
          <w:numId w:val="2"/>
        </w:numPr>
        <w:spacing w:after="80"/>
      </w:pPr>
      <w:r>
        <w:rPr>
          <w:rFonts w:ascii="Arial" w:cs="Arial" w:eastAsia="Arial" w:hAnsi="Arial"/>
          <w:sz w:val="22"/>
          <w:szCs w:val="22"/>
        </w:rPr>
        <w:t xml:space="preserve">Identifiant de dossier : formats configurés par tenant</w:t>
      </w:r>
    </w:p>
    <w:p>
      <w:pPr>
        <w:pStyle w:val="ListParagraph"/>
        <w:numPr>
          <w:ilvl w:val="0"/>
          <w:numId w:val="2"/>
        </w:numPr>
        <w:spacing w:after="80"/>
      </w:pPr>
      <w:r>
        <w:rPr>
          <w:rFonts w:ascii="Arial" w:cs="Arial" w:eastAsia="Arial" w:hAnsi="Arial"/>
          <w:sz w:val="22"/>
          <w:szCs w:val="22"/>
        </w:rPr>
        <w:t xml:space="preserve">Montants : nombres à 6+ chiffres suivis de MAD/DH/dirhams</w:t>
      </w:r>
    </w:p>
    <w:p>
      <w:pPr>
        <w:pStyle w:val="Heading3"/>
      </w:pPr>
      <w:r>
        <w:t xml:space="preserve">3.1.3. Contrôle de la qualité des réponses (anti-hallucination)</w:t>
      </w:r>
    </w:p>
    <w:p>
      <w:pPr>
        <w:spacing w:after="120"/>
        <w:jc w:val="both"/>
      </w:pPr>
      <w:r>
        <w:rPr>
          <w:rFonts w:ascii="Arial" w:cs="Arial" w:eastAsia="Arial" w:hAnsi="Arial"/>
          <w:b/>
          <w:bCs/>
          <w:sz w:val="22"/>
          <w:szCs w:val="22"/>
        </w:rPr>
        <w:t xml:space="preserve">Risques couverts : </w:t>
      </w:r>
      <w:r>
        <w:rPr>
          <w:rFonts w:ascii="Arial" w:cs="Arial" w:eastAsia="Arial" w:hAnsi="Arial"/>
          <w:sz w:val="22"/>
          <w:szCs w:val="22"/>
        </w:rPr>
        <w:t xml:space="preserve">R02</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1</w:t>
      </w:r>
    </w:p>
    <w:p>
      <w:pPr>
        <w:spacing w:after="120"/>
        <w:jc w:val="both"/>
      </w:pPr>
      <w:r>
        <w:rPr>
          <w:rFonts w:ascii="Arial" w:cs="Arial" w:eastAsia="Arial" w:hAnsi="Arial"/>
          <w:sz w:val="22"/>
          <w:szCs w:val="22"/>
        </w:rPr>
        <w:t xml:space="preserve">Spécifications techniques :</w:t>
      </w:r>
    </w:p>
    <w:p>
      <w:pPr>
        <w:pStyle w:val="ListParagraph"/>
        <w:numPr>
          <w:ilvl w:val="0"/>
          <w:numId w:val="2"/>
        </w:numPr>
        <w:spacing w:after="80"/>
      </w:pPr>
      <w:r>
        <w:rPr>
          <w:rFonts w:ascii="Arial" w:cs="Arial" w:eastAsia="Arial" w:hAnsi="Arial"/>
          <w:b/>
          <w:bCs/>
          <w:sz w:val="22"/>
          <w:szCs w:val="22"/>
        </w:rPr>
        <w:t xml:space="preserve">Score de confiance RAG : </w:t>
      </w:r>
      <w:r>
        <w:rPr>
          <w:rFonts w:ascii="Arial" w:cs="Arial" w:eastAsia="Arial" w:hAnsi="Arial"/>
          <w:sz w:val="22"/>
          <w:szCs w:val="22"/>
        </w:rPr>
        <w:t xml:space="preserve">chaque réponse générée est accompagnée du score de similarité cosinus moyen des chunks utilisés. Si le score est inférieur au seuil configurable par tenant (défaut : 0.7), la réponse est accompagnée d’un disclaimer ou redirigée vers l’escalade humaine.</w:t>
      </w:r>
    </w:p>
    <w:p>
      <w:pPr>
        <w:pStyle w:val="ListParagraph"/>
        <w:numPr>
          <w:ilvl w:val="0"/>
          <w:numId w:val="2"/>
        </w:numPr>
        <w:spacing w:after="80"/>
      </w:pPr>
      <w:r>
        <w:rPr>
          <w:rFonts w:ascii="Arial" w:cs="Arial" w:eastAsia="Arial" w:hAnsi="Arial"/>
          <w:b/>
          <w:bCs/>
          <w:sz w:val="22"/>
          <w:szCs w:val="22"/>
        </w:rPr>
        <w:t xml:space="preserve">Vérification de citation : </w:t>
      </w:r>
      <w:r>
        <w:rPr>
          <w:rFonts w:ascii="Arial" w:cs="Arial" w:eastAsia="Arial" w:hAnsi="Arial"/>
          <w:sz w:val="22"/>
          <w:szCs w:val="22"/>
        </w:rPr>
        <w:t xml:space="preserve">le ResponseValidator vérifie que les éléments factuels de la réponse (lois citées, délais, procédures) sont effectivement présents dans les chunks récupérés.</w:t>
      </w:r>
    </w:p>
    <w:p>
      <w:pPr>
        <w:pStyle w:val="ListParagraph"/>
        <w:numPr>
          <w:ilvl w:val="0"/>
          <w:numId w:val="2"/>
        </w:numPr>
        <w:spacing w:after="80"/>
      </w:pPr>
      <w:r>
        <w:rPr>
          <w:rFonts w:ascii="Arial" w:cs="Arial" w:eastAsia="Arial" w:hAnsi="Arial"/>
          <w:b/>
          <w:bCs/>
          <w:sz w:val="22"/>
          <w:szCs w:val="22"/>
        </w:rPr>
        <w:t xml:space="preserve">Ton institutionnel : </w:t>
      </w:r>
      <w:r>
        <w:rPr>
          <w:rFonts w:ascii="Arial" w:cs="Arial" w:eastAsia="Arial" w:hAnsi="Arial"/>
          <w:sz w:val="22"/>
          <w:szCs w:val="22"/>
        </w:rPr>
        <w:t xml:space="preserve">scoring du registre de langue pour garantir un ton formel adapté à un organisme public.</w:t>
      </w:r>
    </w:p>
    <w:p>
      <w:pPr>
        <w:pStyle w:val="ListParagraph"/>
        <w:numPr>
          <w:ilvl w:val="0"/>
          <w:numId w:val="2"/>
        </w:numPr>
        <w:spacing w:after="80"/>
      </w:pPr>
      <w:r>
        <w:rPr>
          <w:rFonts w:ascii="Arial" w:cs="Arial" w:eastAsia="Arial" w:hAnsi="Arial"/>
          <w:b/>
          <w:bCs/>
          <w:sz w:val="22"/>
          <w:szCs w:val="22"/>
        </w:rPr>
        <w:t xml:space="preserve">Métriques Prometheus : </w:t>
      </w:r>
      <w:r>
        <w:rPr>
          <w:rFonts w:ascii="Arial" w:cs="Arial" w:eastAsia="Arial" w:hAnsi="Arial"/>
          <w:sz w:val="22"/>
          <w:szCs w:val="22"/>
        </w:rPr>
        <w:t xml:space="preserve">taux de fallback (réponses avec disclaimer), score de confiance moyen, taux d’escalade.</w:t>
      </w:r>
    </w:p>
    <w:p>
      <w:pPr>
        <w:pStyle w:val="Heading3"/>
      </w:pPr>
      <w:r>
        <w:t xml:space="preserve">3.1.4. Sécurité des données en transit vers le LLM</w:t>
      </w:r>
    </w:p>
    <w:p>
      <w:pPr>
        <w:spacing w:after="120"/>
        <w:jc w:val="both"/>
      </w:pPr>
      <w:r>
        <w:rPr>
          <w:rFonts w:ascii="Arial" w:cs="Arial" w:eastAsia="Arial" w:hAnsi="Arial"/>
          <w:b/>
          <w:bCs/>
          <w:sz w:val="22"/>
          <w:szCs w:val="22"/>
        </w:rPr>
        <w:t xml:space="preserve">Risques couverts : </w:t>
      </w:r>
      <w:r>
        <w:rPr>
          <w:rFonts w:ascii="Arial" w:cs="Arial" w:eastAsia="Arial" w:hAnsi="Arial"/>
          <w:sz w:val="22"/>
          <w:szCs w:val="22"/>
        </w:rPr>
        <w:t xml:space="preserve">R11</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1</w:t>
      </w:r>
    </w:p>
    <w:p>
      <w:pPr>
        <w:spacing w:after="120"/>
        <w:jc w:val="both"/>
      </w:pPr>
      <w:r>
        <w:rPr>
          <w:rFonts w:ascii="Arial" w:cs="Arial" w:eastAsia="Arial" w:hAnsi="Arial"/>
          <w:sz w:val="22"/>
          <w:szCs w:val="22"/>
        </w:rPr>
        <w:t xml:space="preserve">Mesure critique non prévue dans les suggestions initiales. L’utilisation d’un LLM cloud (Gemini) implique que les prompts transitent par les serveurs Google hors du Maroc. Mesures de mitigation :</w:t>
      </w:r>
    </w:p>
    <w:p>
      <w:pPr>
        <w:pStyle w:val="ListParagraph"/>
        <w:numPr>
          <w:ilvl w:val="0"/>
          <w:numId w:val="2"/>
        </w:numPr>
        <w:spacing w:after="80"/>
      </w:pPr>
      <w:r>
        <w:rPr>
          <w:rFonts w:ascii="Arial" w:cs="Arial" w:eastAsia="Arial" w:hAnsi="Arial"/>
          <w:b/>
          <w:bCs/>
          <w:sz w:val="22"/>
          <w:szCs w:val="22"/>
        </w:rPr>
        <w:t xml:space="preserve">Anonymisation systématique : </w:t>
      </w:r>
      <w:r>
        <w:rPr>
          <w:rFonts w:ascii="Arial" w:cs="Arial" w:eastAsia="Arial" w:hAnsi="Arial"/>
          <w:sz w:val="22"/>
          <w:szCs w:val="22"/>
        </w:rPr>
        <w:t xml:space="preserve">aucune donnée personnelle identifiable (CIN, numéro de dossier réel, montant, nom) n’est envoyée dans les prompts Gemini. Seuls les chunks RAG anonymisés et le texte de la question (elle-même filtrée) sont transmis.</w:t>
      </w:r>
    </w:p>
    <w:p>
      <w:pPr>
        <w:pStyle w:val="ListParagraph"/>
        <w:numPr>
          <w:ilvl w:val="0"/>
          <w:numId w:val="2"/>
        </w:numPr>
        <w:spacing w:after="80"/>
      </w:pPr>
      <w:r>
        <w:rPr>
          <w:rFonts w:ascii="Arial" w:cs="Arial" w:eastAsia="Arial" w:hAnsi="Arial"/>
          <w:b/>
          <w:bCs/>
          <w:sz w:val="22"/>
          <w:szCs w:val="22"/>
        </w:rPr>
        <w:t xml:space="preserve">Suivi de dossier 100% local : </w:t>
      </w:r>
      <w:r>
        <w:rPr>
          <w:rFonts w:ascii="Arial" w:cs="Arial" w:eastAsia="Arial" w:hAnsi="Arial"/>
          <w:sz w:val="22"/>
          <w:szCs w:val="22"/>
        </w:rPr>
        <w:t xml:space="preserve">le module de suivi de dossier (auth OTP + consultation statut) opère entièrement sur PostgreSQL local sans appel LLM. Gemini n’intervient que pour la formulation de la réponse, pas pour l’accès aux données.</w:t>
      </w:r>
    </w:p>
    <w:p>
      <w:pPr>
        <w:pStyle w:val="ListParagraph"/>
        <w:numPr>
          <w:ilvl w:val="0"/>
          <w:numId w:val="2"/>
        </w:numPr>
        <w:spacing w:after="80"/>
      </w:pPr>
      <w:r>
        <w:rPr>
          <w:rFonts w:ascii="Arial" w:cs="Arial" w:eastAsia="Arial" w:hAnsi="Arial"/>
          <w:b/>
          <w:bCs/>
          <w:sz w:val="22"/>
          <w:szCs w:val="22"/>
        </w:rPr>
        <w:t xml:space="preserve">Data use policy Gemini : </w:t>
      </w:r>
      <w:r>
        <w:rPr>
          <w:rFonts w:ascii="Arial" w:cs="Arial" w:eastAsia="Arial" w:hAnsi="Arial"/>
          <w:sz w:val="22"/>
          <w:szCs w:val="22"/>
        </w:rPr>
        <w:t xml:space="preserve">activation de l’option de non-utilisation des données pour l’entraînement du modèle (disponible via l’API payante Gemini).</w:t>
      </w:r>
    </w:p>
    <w:p>
      <w:pPr>
        <w:pStyle w:val="ListParagraph"/>
        <w:numPr>
          <w:ilvl w:val="0"/>
          <w:numId w:val="2"/>
        </w:numPr>
        <w:spacing w:after="80"/>
      </w:pPr>
      <w:r>
        <w:rPr>
          <w:rFonts w:ascii="Arial" w:cs="Arial" w:eastAsia="Arial" w:hAnsi="Arial"/>
          <w:b/>
          <w:bCs/>
          <w:sz w:val="22"/>
          <w:szCs w:val="22"/>
        </w:rPr>
        <w:t xml:space="preserve">Logging des prompts : </w:t>
      </w:r>
      <w:r>
        <w:rPr>
          <w:rFonts w:ascii="Arial" w:cs="Arial" w:eastAsia="Arial" w:hAnsi="Arial"/>
          <w:sz w:val="22"/>
          <w:szCs w:val="22"/>
        </w:rPr>
        <w:t xml:space="preserve">chaque prompt envoyé à Gemini est logé localement (PostgreSQL, rétention 90 jours) pour audit et vérification de l’absence de PII.</w:t>
      </w:r>
    </w:p>
    <w:p>
      <w:r>
        <w:br w:type="page"/>
      </w:r>
    </w:p>
    <w:p>
      <w:pPr>
        <w:pStyle w:val="Heading2"/>
      </w:pPr>
      <w:r>
        <w:t xml:space="preserve">3.2. Sécurité multi-tenant et isolation</w:t>
      </w:r>
    </w:p>
    <w:p>
      <w:pPr>
        <w:pStyle w:val="Heading3"/>
      </w:pPr>
      <w:r>
        <w:t xml:space="preserve">3.2.1. Isolation des données par tenant</w:t>
      </w:r>
    </w:p>
    <w:p>
      <w:pPr>
        <w:spacing w:after="120"/>
        <w:jc w:val="both"/>
      </w:pPr>
      <w:r>
        <w:rPr>
          <w:rFonts w:ascii="Arial" w:cs="Arial" w:eastAsia="Arial" w:hAnsi="Arial"/>
          <w:b/>
          <w:bCs/>
          <w:sz w:val="22"/>
          <w:szCs w:val="22"/>
        </w:rPr>
        <w:t xml:space="preserve">Risques couverts : </w:t>
      </w:r>
      <w:r>
        <w:rPr>
          <w:rFonts w:ascii="Arial" w:cs="Arial" w:eastAsia="Arial" w:hAnsi="Arial"/>
          <w:sz w:val="22"/>
          <w:szCs w:val="22"/>
        </w:rPr>
        <w:t xml:space="preserve">R05, R06</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1</w:t>
      </w:r>
    </w:p>
    <w:p>
      <w:pPr>
        <w:spacing w:after="120"/>
        <w:jc w:val="both"/>
      </w:pPr>
      <w:r>
        <w:rPr>
          <w:rFonts w:ascii="Arial" w:cs="Arial" w:eastAsia="Arial" w:hAnsi="Arial"/>
          <w:sz w:val="22"/>
          <w:szCs w:val="22"/>
        </w:rPr>
        <w:t xml:space="preserve">L’isolation multi-tenant est le fondement de la sécurité de la plateforme. Elle opère à 5 niveaux complémentaires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326"/>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Composant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Stratégie d’isolation</w:t>
            </w:r>
          </w:p>
        </w:tc>
        <w:tc>
          <w:tcPr>
            <w:tcW w:type="dxa" w:w="5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Mécanisme de sécurité</w:t>
            </w:r>
          </w:p>
        </w:tc>
      </w:tr>
      <w:tr>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PostgreSQL</w:t>
            </w:r>
          </w:p>
        </w:tc>
        <w:tc>
          <w:tcPr>
            <w:tcW w:type="dxa" w:w="2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Schéma par tenant</w:t>
            </w:r>
          </w:p>
        </w:tc>
        <w:tc>
          <w:tcPr>
            <w:tcW w:type="dxa" w:w="53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Row Level Security (RLS) comme filet de sécurité additionnel. Le rôle applicatif n’a accès qu’au schéma du tenant courant.</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Qdrant</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Collection par tenant</w:t>
            </w:r>
          </w:p>
        </w:tc>
        <w:tc>
          <w:tcPr>
            <w:tcW w:type="dxa" w:w="53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Chaque collection (kb_rabat, kb_tanger) est un espace vectoriel isolé. Aucune requête cross-collection possible.</w:t>
            </w:r>
          </w:p>
        </w:tc>
      </w:tr>
      <w:tr>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Redis</w:t>
            </w:r>
          </w:p>
        </w:tc>
        <w:tc>
          <w:tcPr>
            <w:tcW w:type="dxa" w:w="2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Préfixe de clé par tenant</w:t>
            </w:r>
          </w:p>
        </w:tc>
        <w:tc>
          <w:tcPr>
            <w:tcW w:type="dxa" w:w="53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Toutes les clés sont préfixées ({slug}:session:, {slug}:otp:). Le middleware injecte automatiquement le préfixe.</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MinIO</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Bucket par tenant</w:t>
            </w:r>
          </w:p>
        </w:tc>
        <w:tc>
          <w:tcPr>
            <w:tcW w:type="dxa" w:w="53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Bucket dédié (cri-rabat/, cri-tanger/). Politique IAM par bucket empêchant l’accès cross-bucket.</w:t>
            </w:r>
          </w:p>
        </w:tc>
      </w:tr>
      <w:tr>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WhatsApp</w:t>
            </w:r>
          </w:p>
        </w:tc>
        <w:tc>
          <w:tcPr>
            <w:tcW w:type="dxa" w:w="2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Numéro et config par tenant</w:t>
            </w:r>
          </w:p>
        </w:tc>
        <w:tc>
          <w:tcPr>
            <w:tcW w:type="dxa" w:w="53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Chaque tenant a son propre phone_number_id, access_token et templates. Le mapping est en cache Redis.</w:t>
            </w:r>
          </w:p>
        </w:tc>
      </w:tr>
    </w:tbl>
    <w:p>
      <w:pPr>
        <w:spacing w:after="100"/>
      </w:pPr>
    </w:p>
    <w:p>
      <w:pPr>
        <w:pStyle w:val="Heading3"/>
      </w:pPr>
      <w:r>
        <w:t xml:space="preserve">3.2.2. Chiffrement isolé par tenant (BYOK adapté)</w:t>
      </w:r>
    </w:p>
    <w:p>
      <w:pPr>
        <w:spacing w:after="120"/>
        <w:jc w:val="both"/>
      </w:pPr>
      <w:r>
        <w:rPr>
          <w:rFonts w:ascii="Arial" w:cs="Arial" w:eastAsia="Arial" w:hAnsi="Arial"/>
          <w:b/>
          <w:bCs/>
          <w:sz w:val="22"/>
          <w:szCs w:val="22"/>
        </w:rPr>
        <w:t xml:space="preserve">Risques couverts : </w:t>
      </w:r>
      <w:r>
        <w:rPr>
          <w:rFonts w:ascii="Arial" w:cs="Arial" w:eastAsia="Arial" w:hAnsi="Arial"/>
          <w:sz w:val="22"/>
          <w:szCs w:val="22"/>
        </w:rPr>
        <w:t xml:space="preserve">R05, R06, R10</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2 (semaines 9-14)</w:t>
      </w:r>
    </w:p>
    <w:p>
      <w:pPr>
        <w:spacing w:after="120"/>
        <w:jc w:val="both"/>
      </w:pPr>
      <w:r>
        <w:rPr>
          <w:rFonts w:ascii="Arial" w:cs="Arial" w:eastAsia="Arial" w:hAnsi="Arial"/>
          <w:sz w:val="22"/>
          <w:szCs w:val="22"/>
        </w:rPr>
        <w:t xml:space="preserve">Chaque tenant dispose d’une clé de chiffrement AES-256 dédiée pour le chiffrement des champs sensibles en base de données. L’implémentation ne repose pas sur un HSM matériel (incompatible avec l’infrastructure Nindohost) mais sur un Key Management Service logiciel.</w:t>
      </w:r>
    </w:p>
    <w:p>
      <w:pPr>
        <w:spacing w:after="120"/>
        <w:jc w:val="both"/>
      </w:pPr>
      <w:r>
        <w:rPr>
          <w:rFonts w:ascii="Arial" w:cs="Arial" w:eastAsia="Arial" w:hAnsi="Arial"/>
          <w:sz w:val="22"/>
          <w:szCs w:val="22"/>
        </w:rPr>
        <w:t xml:space="preserve">Architecture du KMS :</w:t>
      </w:r>
    </w:p>
    <w:p>
      <w:pPr>
        <w:pStyle w:val="ListParagraph"/>
        <w:numPr>
          <w:ilvl w:val="0"/>
          <w:numId w:val="2"/>
        </w:numPr>
        <w:spacing w:after="80"/>
      </w:pPr>
      <w:r>
        <w:rPr>
          <w:rFonts w:ascii="Arial" w:cs="Arial" w:eastAsia="Arial" w:hAnsi="Arial"/>
          <w:b/>
          <w:bCs/>
          <w:sz w:val="22"/>
          <w:szCs w:val="22"/>
        </w:rPr>
        <w:t xml:space="preserve">Master Key : </w:t>
      </w:r>
      <w:r>
        <w:rPr>
          <w:rFonts w:ascii="Arial" w:cs="Arial" w:eastAsia="Arial" w:hAnsi="Arial"/>
          <w:sz w:val="22"/>
          <w:szCs w:val="22"/>
        </w:rPr>
        <w:t xml:space="preserve">clé maîtresse dérivée d’une variable d’environnement (jamais en base de données), utilisée pour chiffrer les clés tenants.</w:t>
      </w:r>
    </w:p>
    <w:p>
      <w:pPr>
        <w:pStyle w:val="ListParagraph"/>
        <w:numPr>
          <w:ilvl w:val="0"/>
          <w:numId w:val="2"/>
        </w:numPr>
        <w:spacing w:after="80"/>
      </w:pPr>
      <w:r>
        <w:rPr>
          <w:rFonts w:ascii="Arial" w:cs="Arial" w:eastAsia="Arial" w:hAnsi="Arial"/>
          <w:b/>
          <w:bCs/>
          <w:sz w:val="22"/>
          <w:szCs w:val="22"/>
        </w:rPr>
        <w:t xml:space="preserve">Tenant Key : </w:t>
      </w:r>
      <w:r>
        <w:rPr>
          <w:rFonts w:ascii="Arial" w:cs="Arial" w:eastAsia="Arial" w:hAnsi="Arial"/>
          <w:sz w:val="22"/>
          <w:szCs w:val="22"/>
        </w:rPr>
        <w:t xml:space="preserve">clé AES-256 par tenant, stockée chiffrée dans une table dédiée tenant_keys du schéma partagé.</w:t>
      </w:r>
    </w:p>
    <w:p>
      <w:pPr>
        <w:pStyle w:val="ListParagraph"/>
        <w:numPr>
          <w:ilvl w:val="0"/>
          <w:numId w:val="2"/>
        </w:numPr>
        <w:spacing w:after="80"/>
      </w:pPr>
      <w:r>
        <w:rPr>
          <w:rFonts w:ascii="Arial" w:cs="Arial" w:eastAsia="Arial" w:hAnsi="Arial"/>
          <w:b/>
          <w:bCs/>
          <w:sz w:val="22"/>
          <w:szCs w:val="22"/>
        </w:rPr>
        <w:t xml:space="preserve">Champs chiffrés : </w:t>
      </w:r>
      <w:r>
        <w:rPr>
          <w:rFonts w:ascii="Arial" w:cs="Arial" w:eastAsia="Arial" w:hAnsi="Arial"/>
          <w:sz w:val="22"/>
          <w:szCs w:val="22"/>
        </w:rPr>
        <w:t xml:space="preserve">CIN, numéro de téléphone, montant d’investissement, adresse dans la table dossiers. Chiffrement via pgcrypto.</w:t>
      </w:r>
    </w:p>
    <w:p>
      <w:pPr>
        <w:pStyle w:val="ListParagraph"/>
        <w:numPr>
          <w:ilvl w:val="0"/>
          <w:numId w:val="2"/>
        </w:numPr>
        <w:spacing w:after="80"/>
      </w:pPr>
      <w:r>
        <w:rPr>
          <w:rFonts w:ascii="Arial" w:cs="Arial" w:eastAsia="Arial" w:hAnsi="Arial"/>
          <w:b/>
          <w:bCs/>
          <w:sz w:val="22"/>
          <w:szCs w:val="22"/>
        </w:rPr>
        <w:t xml:space="preserve">Rotation : </w:t>
      </w:r>
      <w:r>
        <w:rPr>
          <w:rFonts w:ascii="Arial" w:cs="Arial" w:eastAsia="Arial" w:hAnsi="Arial"/>
          <w:sz w:val="22"/>
          <w:szCs w:val="22"/>
        </w:rPr>
        <w:t xml:space="preserve">procédure de rotation de clé planifiable via le back-office super-admin, avec re-chiffrement des données en arrière-plan (worker ARQ).</w:t>
      </w:r>
    </w:p>
    <w:p>
      <w:pPr>
        <w:pStyle w:val="Heading3"/>
      </w:pPr>
      <w:r>
        <w:t xml:space="preserve">3.2.3. Micro-segmentation réseau</w:t>
      </w:r>
    </w:p>
    <w:p>
      <w:pPr>
        <w:spacing w:after="120"/>
        <w:jc w:val="both"/>
      </w:pPr>
      <w:r>
        <w:rPr>
          <w:rFonts w:ascii="Arial" w:cs="Arial" w:eastAsia="Arial" w:hAnsi="Arial"/>
          <w:b/>
          <w:bCs/>
          <w:sz w:val="22"/>
          <w:szCs w:val="22"/>
        </w:rPr>
        <w:t xml:space="preserve">Risques couverts : </w:t>
      </w:r>
      <w:r>
        <w:rPr>
          <w:rFonts w:ascii="Arial" w:cs="Arial" w:eastAsia="Arial" w:hAnsi="Arial"/>
          <w:sz w:val="22"/>
          <w:szCs w:val="22"/>
        </w:rPr>
        <w:t xml:space="preserve">R05, R14</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1</w:t>
      </w:r>
    </w:p>
    <w:p>
      <w:pPr>
        <w:spacing w:after="120"/>
        <w:jc w:val="both"/>
      </w:pPr>
      <w:r>
        <w:rPr>
          <w:rFonts w:ascii="Arial" w:cs="Arial" w:eastAsia="Arial" w:hAnsi="Arial"/>
          <w:sz w:val="22"/>
          <w:szCs w:val="22"/>
        </w:rPr>
        <w:t xml:space="preserve">L’isolation réseau est implémentée via les réseaux Docker Compose :</w:t>
      </w:r>
    </w:p>
    <w:p>
      <w:pPr>
        <w:pStyle w:val="ListParagraph"/>
        <w:numPr>
          <w:ilvl w:val="0"/>
          <w:numId w:val="2"/>
        </w:numPr>
        <w:spacing w:after="80"/>
      </w:pPr>
      <w:r>
        <w:rPr>
          <w:rFonts w:ascii="Arial" w:cs="Arial" w:eastAsia="Arial" w:hAnsi="Arial"/>
          <w:b/>
          <w:bCs/>
          <w:sz w:val="22"/>
          <w:szCs w:val="22"/>
        </w:rPr>
        <w:t xml:space="preserve">Réseau frontend : </w:t>
      </w:r>
      <w:r>
        <w:rPr>
          <w:rFonts w:ascii="Arial" w:cs="Arial" w:eastAsia="Arial" w:hAnsi="Arial"/>
          <w:sz w:val="22"/>
          <w:szCs w:val="22"/>
        </w:rPr>
        <w:t xml:space="preserve">Traefik + FastAPI. Seul point d’entrée : ports 80/443 via Traefik.</w:t>
      </w:r>
    </w:p>
    <w:p>
      <w:pPr>
        <w:pStyle w:val="ListParagraph"/>
        <w:numPr>
          <w:ilvl w:val="0"/>
          <w:numId w:val="2"/>
        </w:numPr>
        <w:spacing w:after="80"/>
      </w:pPr>
      <w:r>
        <w:rPr>
          <w:rFonts w:ascii="Arial" w:cs="Arial" w:eastAsia="Arial" w:hAnsi="Arial"/>
          <w:b/>
          <w:bCs/>
          <w:sz w:val="22"/>
          <w:szCs w:val="22"/>
        </w:rPr>
        <w:t xml:space="preserve">Réseau backend : </w:t>
      </w:r>
      <w:r>
        <w:rPr>
          <w:rFonts w:ascii="Arial" w:cs="Arial" w:eastAsia="Arial" w:hAnsi="Arial"/>
          <w:sz w:val="22"/>
          <w:szCs w:val="22"/>
        </w:rPr>
        <w:t xml:space="preserve">FastAPI + PostgreSQL + Qdrant + Redis + MinIO. Aucun de ces services n’est exposé sur l’interface publique.</w:t>
      </w:r>
    </w:p>
    <w:p>
      <w:pPr>
        <w:pStyle w:val="ListParagraph"/>
        <w:numPr>
          <w:ilvl w:val="0"/>
          <w:numId w:val="2"/>
        </w:numPr>
        <w:spacing w:after="80"/>
      </w:pPr>
      <w:r>
        <w:rPr>
          <w:rFonts w:ascii="Arial" w:cs="Arial" w:eastAsia="Arial" w:hAnsi="Arial"/>
          <w:b/>
          <w:bCs/>
          <w:sz w:val="22"/>
          <w:szCs w:val="22"/>
        </w:rPr>
        <w:t xml:space="preserve">FastAPI : </w:t>
      </w:r>
      <w:r>
        <w:rPr>
          <w:rFonts w:ascii="Arial" w:cs="Arial" w:eastAsia="Arial" w:hAnsi="Arial"/>
          <w:sz w:val="22"/>
          <w:szCs w:val="22"/>
        </w:rPr>
        <w:t xml:space="preserve">seul service présent dans les deux réseaux (bridge entre frontend et backend).</w:t>
      </w:r>
    </w:p>
    <w:p>
      <w:pPr>
        <w:pStyle w:val="ListParagraph"/>
        <w:numPr>
          <w:ilvl w:val="0"/>
          <w:numId w:val="2"/>
        </w:numPr>
        <w:spacing w:after="80"/>
      </w:pPr>
      <w:r>
        <w:rPr>
          <w:rFonts w:ascii="Arial" w:cs="Arial" w:eastAsia="Arial" w:hAnsi="Arial"/>
          <w:b/>
          <w:bCs/>
          <w:sz w:val="22"/>
          <w:szCs w:val="22"/>
        </w:rPr>
        <w:t xml:space="preserve">Inter-VPS : </w:t>
      </w:r>
      <w:r>
        <w:rPr>
          <w:rFonts w:ascii="Arial" w:cs="Arial" w:eastAsia="Arial" w:hAnsi="Arial"/>
          <w:sz w:val="22"/>
          <w:szCs w:val="22"/>
        </w:rPr>
        <w:t xml:space="preserve">si les services sont répartis sur plusieurs VPS Nindohost, les communications inter-VPS utilisent TLS via Traefik en mode sidecar ou un tunnel SSH.</w:t>
      </w:r>
    </w:p>
    <w:p>
      <w:r>
        <w:br w:type="page"/>
      </w:r>
    </w:p>
    <w:p>
      <w:pPr>
        <w:pStyle w:val="Heading2"/>
      </w:pPr>
      <w:r>
        <w:t xml:space="preserve">3.3. Sécurité des API</w:t>
      </w:r>
    </w:p>
    <w:p>
      <w:pPr>
        <w:pStyle w:val="Heading3"/>
      </w:pPr>
      <w:r>
        <w:t xml:space="preserve">3.3.1. Validation des webhooks WhatsApp</w:t>
      </w:r>
    </w:p>
    <w:p>
      <w:pPr>
        <w:spacing w:after="120"/>
        <w:jc w:val="both"/>
      </w:pPr>
      <w:r>
        <w:rPr>
          <w:rFonts w:ascii="Arial" w:cs="Arial" w:eastAsia="Arial" w:hAnsi="Arial"/>
          <w:b/>
          <w:bCs/>
          <w:sz w:val="22"/>
          <w:szCs w:val="22"/>
        </w:rPr>
        <w:t xml:space="preserve">Risques couverts : </w:t>
      </w:r>
      <w:r>
        <w:rPr>
          <w:rFonts w:ascii="Arial" w:cs="Arial" w:eastAsia="Arial" w:hAnsi="Arial"/>
          <w:sz w:val="22"/>
          <w:szCs w:val="22"/>
        </w:rPr>
        <w:t xml:space="preserve">R08</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1</w:t>
      </w:r>
    </w:p>
    <w:p>
      <w:pPr>
        <w:spacing w:after="120"/>
        <w:jc w:val="both"/>
      </w:pPr>
      <w:r>
        <w:rPr>
          <w:rFonts w:ascii="Arial" w:cs="Arial" w:eastAsia="Arial" w:hAnsi="Arial"/>
          <w:sz w:val="22"/>
          <w:szCs w:val="22"/>
        </w:rPr>
        <w:t xml:space="preserve">Chaque requête entrante sur le webhook WhatsApp est vérifiée avant tout traitement :</w:t>
      </w:r>
    </w:p>
    <w:p>
      <w:pPr>
        <w:pStyle w:val="ListParagraph"/>
        <w:numPr>
          <w:ilvl w:val="0"/>
          <w:numId w:val="2"/>
        </w:numPr>
        <w:spacing w:after="80"/>
      </w:pPr>
      <w:r>
        <w:rPr>
          <w:rFonts w:ascii="Arial" w:cs="Arial" w:eastAsia="Arial" w:hAnsi="Arial"/>
          <w:b/>
          <w:bCs/>
          <w:sz w:val="22"/>
          <w:szCs w:val="22"/>
        </w:rPr>
        <w:t xml:space="preserve">Signature HMAC-SHA256 : </w:t>
      </w:r>
      <w:r>
        <w:rPr>
          <w:rFonts w:ascii="Arial" w:cs="Arial" w:eastAsia="Arial" w:hAnsi="Arial"/>
          <w:sz w:val="22"/>
          <w:szCs w:val="22"/>
        </w:rPr>
        <w:t xml:space="preserve">vérification du header X-Hub-Signature-256 avec le app_secret de l’application Meta. Toute requête avec une signature invalide ou absente est rejetée avec un code HTTP 403.</w:t>
      </w:r>
    </w:p>
    <w:p>
      <w:pPr>
        <w:pStyle w:val="ListParagraph"/>
        <w:numPr>
          <w:ilvl w:val="0"/>
          <w:numId w:val="2"/>
        </w:numPr>
        <w:spacing w:after="80"/>
      </w:pPr>
      <w:r>
        <w:rPr>
          <w:rFonts w:ascii="Arial" w:cs="Arial" w:eastAsia="Arial" w:hAnsi="Arial"/>
          <w:b/>
          <w:bCs/>
          <w:sz w:val="22"/>
          <w:szCs w:val="22"/>
        </w:rPr>
        <w:t xml:space="preserve">Validation du payload : </w:t>
      </w:r>
      <w:r>
        <w:rPr>
          <w:rFonts w:ascii="Arial" w:cs="Arial" w:eastAsia="Arial" w:hAnsi="Arial"/>
          <w:sz w:val="22"/>
          <w:szCs w:val="22"/>
        </w:rPr>
        <w:t xml:space="preserve">vérification de la structure JSON (Pydantic v2 strict) avant désérialisation. Rejet des payloads malformés.</w:t>
      </w:r>
    </w:p>
    <w:p>
      <w:pPr>
        <w:pStyle w:val="ListParagraph"/>
        <w:numPr>
          <w:ilvl w:val="0"/>
          <w:numId w:val="2"/>
        </w:numPr>
        <w:spacing w:after="80"/>
      </w:pPr>
      <w:r>
        <w:rPr>
          <w:rFonts w:ascii="Arial" w:cs="Arial" w:eastAsia="Arial" w:hAnsi="Arial"/>
          <w:b/>
          <w:bCs/>
          <w:sz w:val="22"/>
          <w:szCs w:val="22"/>
        </w:rPr>
        <w:t xml:space="preserve">Webhook Verification : </w:t>
      </w:r>
      <w:r>
        <w:rPr>
          <w:rFonts w:ascii="Arial" w:cs="Arial" w:eastAsia="Arial" w:hAnsi="Arial"/>
          <w:sz w:val="22"/>
          <w:szCs w:val="22"/>
        </w:rPr>
        <w:t xml:space="preserve">implémentation du challenge hub.verify_token pour l’enregistrement initial du webhook Meta.</w:t>
      </w:r>
    </w:p>
    <w:p>
      <w:pPr>
        <w:pStyle w:val="Heading3"/>
      </w:pPr>
      <w:r>
        <w:t xml:space="preserve">3.3.2. Protection anti-BOLA/IDOR</w:t>
      </w:r>
    </w:p>
    <w:p>
      <w:pPr>
        <w:spacing w:after="120"/>
        <w:jc w:val="both"/>
      </w:pPr>
      <w:r>
        <w:rPr>
          <w:rFonts w:ascii="Arial" w:cs="Arial" w:eastAsia="Arial" w:hAnsi="Arial"/>
          <w:b/>
          <w:bCs/>
          <w:sz w:val="22"/>
          <w:szCs w:val="22"/>
        </w:rPr>
        <w:t xml:space="preserve">Risques couverts : </w:t>
      </w:r>
      <w:r>
        <w:rPr>
          <w:rFonts w:ascii="Arial" w:cs="Arial" w:eastAsia="Arial" w:hAnsi="Arial"/>
          <w:sz w:val="22"/>
          <w:szCs w:val="22"/>
        </w:rPr>
        <w:t xml:space="preserve">R07</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1</w:t>
      </w:r>
    </w:p>
    <w:p>
      <w:pPr>
        <w:spacing w:after="120"/>
        <w:jc w:val="both"/>
      </w:pPr>
      <w:r>
        <w:rPr>
          <w:rFonts w:ascii="Arial" w:cs="Arial" w:eastAsia="Arial" w:hAnsi="Arial"/>
          <w:sz w:val="22"/>
          <w:szCs w:val="22"/>
        </w:rPr>
        <w:t xml:space="preserve">C’est le risque le plus critique pour le module de suivi de dossier. Un investisseur authentifié via OTP ne doit accéder qu’à ses propres dossiers.</w:t>
      </w:r>
    </w:p>
    <w:p>
      <w:pPr>
        <w:spacing w:after="120"/>
        <w:jc w:val="both"/>
      </w:pPr>
      <w:r>
        <w:rPr>
          <w:rFonts w:ascii="Arial" w:cs="Arial" w:eastAsia="Arial" w:hAnsi="Arial"/>
          <w:sz w:val="22"/>
          <w:szCs w:val="22"/>
        </w:rPr>
        <w:t xml:space="preserve">Implémentation :</w:t>
      </w:r>
    </w:p>
    <w:p>
      <w:pPr>
        <w:pStyle w:val="ListParagraph"/>
        <w:numPr>
          <w:ilvl w:val="0"/>
          <w:numId w:val="2"/>
        </w:numPr>
        <w:spacing w:after="80"/>
      </w:pPr>
      <w:r>
        <w:rPr>
          <w:rFonts w:ascii="Arial" w:cs="Arial" w:eastAsia="Arial" w:hAnsi="Arial"/>
          <w:b/>
          <w:bCs/>
          <w:sz w:val="22"/>
          <w:szCs w:val="22"/>
        </w:rPr>
        <w:t xml:space="preserve">Binding utilisateur-dossier : </w:t>
      </w:r>
      <w:r>
        <w:rPr>
          <w:rFonts w:ascii="Arial" w:cs="Arial" w:eastAsia="Arial" w:hAnsi="Arial"/>
          <w:sz w:val="22"/>
          <w:szCs w:val="22"/>
        </w:rPr>
        <w:t xml:space="preserve">chaque endpoint de consultation vérifie que le phone_number de l’utilisateur authentifié (OTP validé) correspond au phone_number associé au dossier demandé. Aucune confiance sur l’identifiant passé en paramètre.</w:t>
      </w:r>
    </w:p>
    <w:p>
      <w:pPr>
        <w:pStyle w:val="ListParagraph"/>
        <w:numPr>
          <w:ilvl w:val="0"/>
          <w:numId w:val="2"/>
        </w:numPr>
        <w:spacing w:after="80"/>
      </w:pPr>
      <w:r>
        <w:rPr>
          <w:rFonts w:ascii="Arial" w:cs="Arial" w:eastAsia="Arial" w:hAnsi="Arial"/>
          <w:b/>
          <w:bCs/>
          <w:sz w:val="22"/>
          <w:szCs w:val="22"/>
        </w:rPr>
        <w:t xml:space="preserve">Middleware multi-tenant : </w:t>
      </w:r>
      <w:r>
        <w:rPr>
          <w:rFonts w:ascii="Arial" w:cs="Arial" w:eastAsia="Arial" w:hAnsi="Arial"/>
          <w:sz w:val="22"/>
          <w:szCs w:val="22"/>
        </w:rPr>
        <w:t xml:space="preserve">vérification systématique que le dossier demandé appartient au tenant courant (isolation inter-CRI).</w:t>
      </w:r>
    </w:p>
    <w:p>
      <w:pPr>
        <w:pStyle w:val="ListParagraph"/>
        <w:numPr>
          <w:ilvl w:val="0"/>
          <w:numId w:val="2"/>
        </w:numPr>
        <w:spacing w:after="80"/>
      </w:pPr>
      <w:r>
        <w:rPr>
          <w:rFonts w:ascii="Arial" w:cs="Arial" w:eastAsia="Arial" w:hAnsi="Arial"/>
          <w:b/>
          <w:bCs/>
          <w:sz w:val="22"/>
          <w:szCs w:val="22"/>
        </w:rPr>
        <w:t xml:space="preserve">Logging des tentatives : </w:t>
      </w:r>
      <w:r>
        <w:rPr>
          <w:rFonts w:ascii="Arial" w:cs="Arial" w:eastAsia="Arial" w:hAnsi="Arial"/>
          <w:sz w:val="22"/>
          <w:szCs w:val="22"/>
        </w:rPr>
        <w:t xml:space="preserve">chaque tentative d’accès à un dossier non autorisé est logée dans l’audit trail avec l’IP, le phone_number, et l’identifiant du dossier ciblé.</w:t>
      </w:r>
    </w:p>
    <w:p>
      <w:pPr>
        <w:pStyle w:val="Heading3"/>
      </w:pPr>
      <w:r>
        <w:t xml:space="preserve">3.3.3. Rate limiting multi-niveau</w:t>
      </w:r>
    </w:p>
    <w:p>
      <w:pPr>
        <w:spacing w:after="120"/>
        <w:jc w:val="both"/>
      </w:pPr>
      <w:r>
        <w:rPr>
          <w:rFonts w:ascii="Arial" w:cs="Arial" w:eastAsia="Arial" w:hAnsi="Arial"/>
          <w:b/>
          <w:bCs/>
          <w:sz w:val="22"/>
          <w:szCs w:val="22"/>
        </w:rPr>
        <w:t xml:space="preserve">Risques couverts : </w:t>
      </w:r>
      <w:r>
        <w:rPr>
          <w:rFonts w:ascii="Arial" w:cs="Arial" w:eastAsia="Arial" w:hAnsi="Arial"/>
          <w:sz w:val="22"/>
          <w:szCs w:val="22"/>
        </w:rPr>
        <w:t xml:space="preserve">R09</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1</w:t>
      </w:r>
    </w:p>
    <w:p>
      <w:pPr>
        <w:spacing w:after="120"/>
        <w:jc w:val="both"/>
      </w:pPr>
      <w:r>
        <w:rPr>
          <w:rFonts w:ascii="Arial" w:cs="Arial" w:eastAsia="Arial" w:hAnsi="Arial"/>
          <w:sz w:val="22"/>
          <w:szCs w:val="22"/>
        </w:rPr>
        <w:t xml:space="preserve">Le rate limiting est implémenté à quatre niveaux via Redis (clés avec TTL)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826"/>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Niveau</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Limite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Clé Redis</w:t>
            </w:r>
          </w:p>
        </w:tc>
        <w:tc>
          <w:tcPr>
            <w:tcW w:type="dxa" w:w="28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en cas de dépassement</w:t>
            </w:r>
          </w:p>
        </w:tc>
      </w:tr>
      <w:tr>
        <w:tc>
          <w:tcPr>
            <w:tcW w:type="dxa" w:w="1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Global (IP)</w:t>
            </w:r>
          </w:p>
        </w:tc>
        <w:tc>
          <w:tcPr>
            <w:tcW w:type="dxa" w:w="1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100 req/min</w:t>
            </w:r>
          </w:p>
        </w:tc>
        <w:tc>
          <w:tcPr>
            <w:tcW w:type="dxa" w:w="2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rl:ip:{ip}</w:t>
            </w:r>
          </w:p>
        </w:tc>
        <w:tc>
          <w:tcPr>
            <w:tcW w:type="dxa" w:w="28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HTTP 429 + header Retry-After</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Tenant (webhook)</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50 req/min</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{slug}:rl:webhook</w:t>
            </w:r>
          </w:p>
        </w:tc>
        <w:tc>
          <w:tcPr>
            <w:tcW w:type="dxa" w:w="28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HTTP 429 + alerte admin</w:t>
            </w:r>
          </w:p>
        </w:tc>
      </w:tr>
      <w:tr>
        <w:tc>
          <w:tcPr>
            <w:tcW w:type="dxa" w:w="1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Utilisateur WhatsApp</w:t>
            </w:r>
          </w:p>
        </w:tc>
        <w:tc>
          <w:tcPr>
            <w:tcW w:type="dxa" w:w="1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10 msg/min</w:t>
            </w:r>
          </w:p>
        </w:tc>
        <w:tc>
          <w:tcPr>
            <w:tcW w:type="dxa" w:w="2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{slug}:rl:user:{phone}</w:t>
            </w:r>
          </w:p>
        </w:tc>
        <w:tc>
          <w:tcPr>
            <w:tcW w:type="dxa" w:w="28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Message WhatsApp « Veuillez patienter »</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OTP (anti-bruteforce)</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3 tentatives / 15 min</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{slug}:rl:otp:{phone}</w:t>
            </w:r>
          </w:p>
        </w:tc>
        <w:tc>
          <w:tcPr>
            <w:tcW w:type="dxa" w:w="28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Blocage temporaire + alerte</w:t>
            </w:r>
          </w:p>
        </w:tc>
      </w:tr>
    </w:tbl>
    <w:p>
      <w:pPr>
        <w:spacing w:after="100"/>
      </w:pPr>
    </w:p>
    <w:p>
      <w:pPr>
        <w:pStyle w:val="Heading3"/>
      </w:pPr>
      <w:r>
        <w:t xml:space="preserve">3.3.4. Headers de sécurité HTTP</w:t>
      </w:r>
    </w:p>
    <w:p>
      <w:pPr>
        <w:spacing w:after="120"/>
        <w:jc w:val="both"/>
      </w:pPr>
      <w:r>
        <w:rPr>
          <w:rFonts w:ascii="Arial" w:cs="Arial" w:eastAsia="Arial" w:hAnsi="Arial"/>
          <w:b/>
          <w:bCs/>
          <w:sz w:val="22"/>
          <w:szCs w:val="22"/>
        </w:rPr>
        <w:t xml:space="preserve">Risques couverts : </w:t>
      </w:r>
      <w:r>
        <w:rPr>
          <w:rFonts w:ascii="Arial" w:cs="Arial" w:eastAsia="Arial" w:hAnsi="Arial"/>
          <w:sz w:val="22"/>
          <w:szCs w:val="22"/>
        </w:rPr>
        <w:t xml:space="preserve">R09, R13</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1</w:t>
      </w:r>
    </w:p>
    <w:p>
      <w:pPr>
        <w:spacing w:after="120"/>
        <w:jc w:val="both"/>
      </w:pPr>
      <w:r>
        <w:rPr>
          <w:rFonts w:ascii="Arial" w:cs="Arial" w:eastAsia="Arial" w:hAnsi="Arial"/>
          <w:sz w:val="22"/>
          <w:szCs w:val="22"/>
        </w:rPr>
        <w:t xml:space="preserve">Configurés au niveau de Traefik v3 pour le back-office Next.js :</w:t>
      </w:r>
    </w:p>
    <w:p>
      <w:pPr>
        <w:pStyle w:val="ListParagraph"/>
        <w:numPr>
          <w:ilvl w:val="0"/>
          <w:numId w:val="2"/>
        </w:numPr>
        <w:spacing w:after="80"/>
      </w:pPr>
      <w:r>
        <w:rPr>
          <w:rFonts w:ascii="Arial" w:cs="Arial" w:eastAsia="Arial" w:hAnsi="Arial"/>
          <w:sz w:val="22"/>
          <w:szCs w:val="22"/>
        </w:rPr>
        <w:t xml:space="preserve">Strict-Transport-Security: max-age=31536000; includeSubDomains (HSTS)</w:t>
      </w:r>
    </w:p>
    <w:p>
      <w:pPr>
        <w:pStyle w:val="ListParagraph"/>
        <w:numPr>
          <w:ilvl w:val="0"/>
          <w:numId w:val="2"/>
        </w:numPr>
        <w:spacing w:after="80"/>
      </w:pPr>
      <w:r>
        <w:rPr>
          <w:rFonts w:ascii="Arial" w:cs="Arial" w:eastAsia="Arial" w:hAnsi="Arial"/>
          <w:sz w:val="22"/>
          <w:szCs w:val="22"/>
        </w:rPr>
        <w:t xml:space="preserve">X-Content-Type-Options: nosniff</w:t>
      </w:r>
    </w:p>
    <w:p>
      <w:pPr>
        <w:pStyle w:val="ListParagraph"/>
        <w:numPr>
          <w:ilvl w:val="0"/>
          <w:numId w:val="2"/>
        </w:numPr>
        <w:spacing w:after="80"/>
      </w:pPr>
      <w:r>
        <w:rPr>
          <w:rFonts w:ascii="Arial" w:cs="Arial" w:eastAsia="Arial" w:hAnsi="Arial"/>
          <w:sz w:val="22"/>
          <w:szCs w:val="22"/>
        </w:rPr>
        <w:t xml:space="preserve">X-Frame-Options: DENY</w:t>
      </w:r>
    </w:p>
    <w:p>
      <w:pPr>
        <w:pStyle w:val="ListParagraph"/>
        <w:numPr>
          <w:ilvl w:val="0"/>
          <w:numId w:val="2"/>
        </w:numPr>
        <w:spacing w:after="80"/>
      </w:pPr>
      <w:r>
        <w:rPr>
          <w:rFonts w:ascii="Arial" w:cs="Arial" w:eastAsia="Arial" w:hAnsi="Arial"/>
          <w:sz w:val="22"/>
          <w:szCs w:val="22"/>
        </w:rPr>
        <w:t xml:space="preserve">Content-Security-Policy: default-src ’self’; script-src ’self’; style-src ’self’ ’unsafe-inline’</w:t>
      </w:r>
    </w:p>
    <w:p>
      <w:pPr>
        <w:pStyle w:val="ListParagraph"/>
        <w:numPr>
          <w:ilvl w:val="0"/>
          <w:numId w:val="2"/>
        </w:numPr>
        <w:spacing w:after="80"/>
      </w:pPr>
      <w:r>
        <w:rPr>
          <w:rFonts w:ascii="Arial" w:cs="Arial" w:eastAsia="Arial" w:hAnsi="Arial"/>
          <w:sz w:val="22"/>
          <w:szCs w:val="22"/>
        </w:rPr>
        <w:t xml:space="preserve">CORS strict : uniquement le domaine du back-office (Access-Control-Allow-Origin)</w:t>
      </w:r>
    </w:p>
    <w:p>
      <w:pPr>
        <w:pStyle w:val="ListParagraph"/>
        <w:numPr>
          <w:ilvl w:val="0"/>
          <w:numId w:val="2"/>
        </w:numPr>
        <w:spacing w:after="80"/>
      </w:pPr>
      <w:r>
        <w:rPr>
          <w:rFonts w:ascii="Arial" w:cs="Arial" w:eastAsia="Arial" w:hAnsi="Arial"/>
          <w:sz w:val="22"/>
          <w:szCs w:val="22"/>
        </w:rPr>
        <w:t xml:space="preserve">Referrer-Policy: strict-origin-when-cross-origin</w:t>
      </w:r>
    </w:p>
    <w:p>
      <w:r>
        <w:br w:type="page"/>
      </w:r>
    </w:p>
    <w:p>
      <w:pPr>
        <w:pStyle w:val="Heading2"/>
      </w:pPr>
      <w:r>
        <w:t xml:space="preserve">3.4. Sécurité des données</w:t>
      </w:r>
    </w:p>
    <w:p>
      <w:pPr>
        <w:pStyle w:val="Heading3"/>
      </w:pPr>
      <w:r>
        <w:t xml:space="preserve">3.4.1. Chiffrement au repos</w:t>
      </w:r>
    </w:p>
    <w:p>
      <w:pPr>
        <w:spacing w:after="120"/>
        <w:jc w:val="both"/>
      </w:pPr>
      <w:r>
        <w:rPr>
          <w:rFonts w:ascii="Arial" w:cs="Arial" w:eastAsia="Arial" w:hAnsi="Arial"/>
          <w:b/>
          <w:bCs/>
          <w:sz w:val="22"/>
          <w:szCs w:val="22"/>
        </w:rPr>
        <w:t xml:space="preserve">Risques couverts : </w:t>
      </w:r>
      <w:r>
        <w:rPr>
          <w:rFonts w:ascii="Arial" w:cs="Arial" w:eastAsia="Arial" w:hAnsi="Arial"/>
          <w:sz w:val="22"/>
          <w:szCs w:val="22"/>
        </w:rPr>
        <w:t xml:space="preserve">R10, R11</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1</w:t>
      </w:r>
    </w:p>
    <w:p>
      <w:pPr>
        <w:pStyle w:val="ListParagraph"/>
        <w:numPr>
          <w:ilvl w:val="0"/>
          <w:numId w:val="2"/>
        </w:numPr>
        <w:spacing w:after="80"/>
      </w:pPr>
      <w:r>
        <w:rPr>
          <w:rFonts w:ascii="Arial" w:cs="Arial" w:eastAsia="Arial" w:hAnsi="Arial"/>
          <w:b/>
          <w:bCs/>
          <w:sz w:val="22"/>
          <w:szCs w:val="22"/>
        </w:rPr>
        <w:t xml:space="preserve">PostgreSQL : </w:t>
      </w:r>
      <w:r>
        <w:rPr>
          <w:rFonts w:ascii="Arial" w:cs="Arial" w:eastAsia="Arial" w:hAnsi="Arial"/>
          <w:sz w:val="22"/>
          <w:szCs w:val="22"/>
        </w:rPr>
        <w:t xml:space="preserve">chiffrement des champs sensibles via pgcrypto (Phase 1) + clé par tenant (Phase 2). Transparent Data Encryption (TDE) si supporté par la version Nindohost.</w:t>
      </w:r>
    </w:p>
    <w:p>
      <w:pPr>
        <w:pStyle w:val="ListParagraph"/>
        <w:numPr>
          <w:ilvl w:val="0"/>
          <w:numId w:val="2"/>
        </w:numPr>
        <w:spacing w:after="80"/>
      </w:pPr>
      <w:r>
        <w:rPr>
          <w:rFonts w:ascii="Arial" w:cs="Arial" w:eastAsia="Arial" w:hAnsi="Arial"/>
          <w:b/>
          <w:bCs/>
          <w:sz w:val="22"/>
          <w:szCs w:val="22"/>
        </w:rPr>
        <w:t xml:space="preserve">MinIO : </w:t>
      </w:r>
      <w:r>
        <w:rPr>
          <w:rFonts w:ascii="Arial" w:cs="Arial" w:eastAsia="Arial" w:hAnsi="Arial"/>
          <w:sz w:val="22"/>
          <w:szCs w:val="22"/>
        </w:rPr>
        <w:t xml:space="preserve">Server-Side Encryption (SSE-S3) activé par défaut sur tous les buckets tenant.</w:t>
      </w:r>
    </w:p>
    <w:p>
      <w:pPr>
        <w:pStyle w:val="ListParagraph"/>
        <w:numPr>
          <w:ilvl w:val="0"/>
          <w:numId w:val="2"/>
        </w:numPr>
        <w:spacing w:after="80"/>
      </w:pPr>
      <w:r>
        <w:rPr>
          <w:rFonts w:ascii="Arial" w:cs="Arial" w:eastAsia="Arial" w:hAnsi="Arial"/>
          <w:b/>
          <w:bCs/>
          <w:sz w:val="22"/>
          <w:szCs w:val="22"/>
        </w:rPr>
        <w:t xml:space="preserve">Qdrant : </w:t>
      </w:r>
      <w:r>
        <w:rPr>
          <w:rFonts w:ascii="Arial" w:cs="Arial" w:eastAsia="Arial" w:hAnsi="Arial"/>
          <w:sz w:val="22"/>
          <w:szCs w:val="22"/>
        </w:rPr>
        <w:t xml:space="preserve">encryption at-rest activée dans la configuration du serveur.</w:t>
      </w:r>
    </w:p>
    <w:p>
      <w:pPr>
        <w:pStyle w:val="ListParagraph"/>
        <w:numPr>
          <w:ilvl w:val="0"/>
          <w:numId w:val="2"/>
        </w:numPr>
        <w:spacing w:after="80"/>
      </w:pPr>
      <w:r>
        <w:rPr>
          <w:rFonts w:ascii="Arial" w:cs="Arial" w:eastAsia="Arial" w:hAnsi="Arial"/>
          <w:b/>
          <w:bCs/>
          <w:sz w:val="22"/>
          <w:szCs w:val="22"/>
        </w:rPr>
        <w:t xml:space="preserve">Redis : </w:t>
      </w:r>
      <w:r>
        <w:rPr>
          <w:rFonts w:ascii="Arial" w:cs="Arial" w:eastAsia="Arial" w:hAnsi="Arial"/>
          <w:sz w:val="22"/>
          <w:szCs w:val="22"/>
        </w:rPr>
        <w:t xml:space="preserve">pas de chiffrement au repos (données volatiles : sessions, OTP, cache). Les données sensibles ne sont jamais stockées en clair dans Redis (seuls les identifiants de session et les hash d’OTP y résident).</w:t>
      </w:r>
    </w:p>
    <w:p>
      <w:pPr>
        <w:pStyle w:val="Heading3"/>
      </w:pPr>
      <w:r>
        <w:t xml:space="preserve">3.4.2. Chiffrement en transit</w:t>
      </w:r>
    </w:p>
    <w:p>
      <w:pPr>
        <w:spacing w:after="120"/>
        <w:jc w:val="both"/>
      </w:pPr>
      <w:r>
        <w:rPr>
          <w:rFonts w:ascii="Arial" w:cs="Arial" w:eastAsia="Arial" w:hAnsi="Arial"/>
          <w:b/>
          <w:bCs/>
          <w:sz w:val="22"/>
          <w:szCs w:val="22"/>
        </w:rPr>
        <w:t xml:space="preserve">Risques couverts : </w:t>
      </w:r>
      <w:r>
        <w:rPr>
          <w:rFonts w:ascii="Arial" w:cs="Arial" w:eastAsia="Arial" w:hAnsi="Arial"/>
          <w:sz w:val="22"/>
          <w:szCs w:val="22"/>
        </w:rPr>
        <w:t xml:space="preserve">R14</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1</w:t>
      </w:r>
    </w:p>
    <w:p>
      <w:pPr>
        <w:pStyle w:val="ListParagraph"/>
        <w:numPr>
          <w:ilvl w:val="0"/>
          <w:numId w:val="2"/>
        </w:numPr>
        <w:spacing w:after="80"/>
      </w:pPr>
      <w:r>
        <w:rPr>
          <w:rFonts w:ascii="Arial" w:cs="Arial" w:eastAsia="Arial" w:hAnsi="Arial"/>
          <w:b/>
          <w:bCs/>
          <w:sz w:val="22"/>
          <w:szCs w:val="22"/>
        </w:rPr>
        <w:t xml:space="preserve">TLS 1.3 : </w:t>
      </w:r>
      <w:r>
        <w:rPr>
          <w:rFonts w:ascii="Arial" w:cs="Arial" w:eastAsia="Arial" w:hAnsi="Arial"/>
          <w:sz w:val="22"/>
          <w:szCs w:val="22"/>
        </w:rPr>
        <w:t xml:space="preserve">pour toutes les communications entrantes via Traefik (certificats Let’s Encrypt, renouvellement automatique).</w:t>
      </w:r>
    </w:p>
    <w:p>
      <w:pPr>
        <w:pStyle w:val="ListParagraph"/>
        <w:numPr>
          <w:ilvl w:val="0"/>
          <w:numId w:val="2"/>
        </w:numPr>
        <w:spacing w:after="80"/>
      </w:pPr>
      <w:r>
        <w:rPr>
          <w:rFonts w:ascii="Arial" w:cs="Arial" w:eastAsia="Arial" w:hAnsi="Arial"/>
          <w:b/>
          <w:bCs/>
          <w:sz w:val="22"/>
          <w:szCs w:val="22"/>
        </w:rPr>
        <w:t xml:space="preserve">Communications inter-VPS : </w:t>
      </w:r>
      <w:r>
        <w:rPr>
          <w:rFonts w:ascii="Arial" w:cs="Arial" w:eastAsia="Arial" w:hAnsi="Arial"/>
          <w:sz w:val="22"/>
          <w:szCs w:val="22"/>
        </w:rPr>
        <w:t xml:space="preserve">TLS ou tunnel SSH pour les connexions PostgreSQL/Redis/Qdrant si répartis sur plusieurs VPS.</w:t>
      </w:r>
    </w:p>
    <w:p>
      <w:pPr>
        <w:pStyle w:val="ListParagraph"/>
        <w:numPr>
          <w:ilvl w:val="0"/>
          <w:numId w:val="2"/>
        </w:numPr>
        <w:spacing w:after="80"/>
      </w:pPr>
      <w:r>
        <w:rPr>
          <w:rFonts w:ascii="Arial" w:cs="Arial" w:eastAsia="Arial" w:hAnsi="Arial"/>
          <w:b/>
          <w:bCs/>
          <w:sz w:val="22"/>
          <w:szCs w:val="22"/>
        </w:rPr>
        <w:t xml:space="preserve">API Gemini : </w:t>
      </w:r>
      <w:r>
        <w:rPr>
          <w:rFonts w:ascii="Arial" w:cs="Arial" w:eastAsia="Arial" w:hAnsi="Arial"/>
          <w:sz w:val="22"/>
          <w:szCs w:val="22"/>
        </w:rPr>
        <w:t xml:space="preserve">HTTPS natif (enforcé par Google).</w:t>
      </w:r>
    </w:p>
    <w:p>
      <w:pPr>
        <w:pStyle w:val="ListParagraph"/>
        <w:numPr>
          <w:ilvl w:val="0"/>
          <w:numId w:val="2"/>
        </w:numPr>
        <w:spacing w:after="80"/>
      </w:pPr>
      <w:r>
        <w:rPr>
          <w:rFonts w:ascii="Arial" w:cs="Arial" w:eastAsia="Arial" w:hAnsi="Arial"/>
          <w:b/>
          <w:bCs/>
          <w:sz w:val="22"/>
          <w:szCs w:val="22"/>
        </w:rPr>
        <w:t xml:space="preserve">API WhatsApp : </w:t>
      </w:r>
      <w:r>
        <w:rPr>
          <w:rFonts w:ascii="Arial" w:cs="Arial" w:eastAsia="Arial" w:hAnsi="Arial"/>
          <w:sz w:val="22"/>
          <w:szCs w:val="22"/>
        </w:rPr>
        <w:t xml:space="preserve">HTTPS natif (enforcé par Meta).</w:t>
      </w:r>
    </w:p>
    <w:p>
      <w:pPr>
        <w:pStyle w:val="Heading3"/>
      </w:pPr>
      <w:r>
        <w:t xml:space="preserve">3.4.3. Sécurité des imports Excel/CSV</w:t>
      </w:r>
    </w:p>
    <w:p>
      <w:pPr>
        <w:spacing w:after="120"/>
        <w:jc w:val="both"/>
      </w:pPr>
      <w:r>
        <w:rPr>
          <w:rFonts w:ascii="Arial" w:cs="Arial" w:eastAsia="Arial" w:hAnsi="Arial"/>
          <w:b/>
          <w:bCs/>
          <w:sz w:val="22"/>
          <w:szCs w:val="22"/>
        </w:rPr>
        <w:t xml:space="preserve">Risques couverts : </w:t>
      </w:r>
      <w:r>
        <w:rPr>
          <w:rFonts w:ascii="Arial" w:cs="Arial" w:eastAsia="Arial" w:hAnsi="Arial"/>
          <w:sz w:val="22"/>
          <w:szCs w:val="22"/>
        </w:rPr>
        <w:t xml:space="preserve">R12</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2 (semaines 9-14, module suivi dossier)</w:t>
      </w:r>
    </w:p>
    <w:p>
      <w:pPr>
        <w:spacing w:after="120"/>
        <w:jc w:val="both"/>
      </w:pPr>
      <w:r>
        <w:rPr>
          <w:rFonts w:ascii="Arial" w:cs="Arial" w:eastAsia="Arial" w:hAnsi="Arial"/>
          <w:sz w:val="22"/>
          <w:szCs w:val="22"/>
        </w:rPr>
        <w:t xml:space="preserve">Les fichiers Excel/CSV importés par les administrateurs constituent un vecteur d’attaque sous-estimé. Mesures de protection :</w:t>
      </w:r>
    </w:p>
    <w:p>
      <w:pPr>
        <w:pStyle w:val="ListParagraph"/>
        <w:numPr>
          <w:ilvl w:val="0"/>
          <w:numId w:val="2"/>
        </w:numPr>
        <w:spacing w:after="80"/>
      </w:pPr>
      <w:r>
        <w:rPr>
          <w:rFonts w:ascii="Arial" w:cs="Arial" w:eastAsia="Arial" w:hAnsi="Arial"/>
          <w:b/>
          <w:bCs/>
          <w:sz w:val="22"/>
          <w:szCs w:val="22"/>
        </w:rPr>
        <w:t xml:space="preserve">Validation de format : </w:t>
      </w:r>
      <w:r>
        <w:rPr>
          <w:rFonts w:ascii="Arial" w:cs="Arial" w:eastAsia="Arial" w:hAnsi="Arial"/>
          <w:sz w:val="22"/>
          <w:szCs w:val="22"/>
        </w:rPr>
        <w:t xml:space="preserve">vérification des colonnes attendues, des types de données, et du nombre de lignes (max configurable par tenant, défaut : 50 000 lignes).</w:t>
      </w:r>
    </w:p>
    <w:p>
      <w:pPr>
        <w:pStyle w:val="ListParagraph"/>
        <w:numPr>
          <w:ilvl w:val="0"/>
          <w:numId w:val="2"/>
        </w:numPr>
        <w:spacing w:after="80"/>
      </w:pPr>
      <w:r>
        <w:rPr>
          <w:rFonts w:ascii="Arial" w:cs="Arial" w:eastAsia="Arial" w:hAnsi="Arial"/>
          <w:b/>
          <w:bCs/>
          <w:sz w:val="22"/>
          <w:szCs w:val="22"/>
        </w:rPr>
        <w:t xml:space="preserve">Parsing sécurisé : </w:t>
      </w:r>
      <w:r>
        <w:rPr>
          <w:rFonts w:ascii="Arial" w:cs="Arial" w:eastAsia="Arial" w:hAnsi="Arial"/>
          <w:sz w:val="22"/>
          <w:szCs w:val="22"/>
        </w:rPr>
        <w:t xml:space="preserve">utilisation d’openpyxl en mode data_only (pas d’exécution de macros, pas de formules évaluées). Le moteur de formules Excel n’est jamais invoqué.</w:t>
      </w:r>
    </w:p>
    <w:p>
      <w:pPr>
        <w:pStyle w:val="ListParagraph"/>
        <w:numPr>
          <w:ilvl w:val="0"/>
          <w:numId w:val="2"/>
        </w:numPr>
        <w:spacing w:after="80"/>
      </w:pPr>
      <w:r>
        <w:rPr>
          <w:rFonts w:ascii="Arial" w:cs="Arial" w:eastAsia="Arial" w:hAnsi="Arial"/>
          <w:b/>
          <w:bCs/>
          <w:sz w:val="22"/>
          <w:szCs w:val="22"/>
        </w:rPr>
        <w:t xml:space="preserve">Taille maximale : </w:t>
      </w:r>
      <w:r>
        <w:rPr>
          <w:rFonts w:ascii="Arial" w:cs="Arial" w:eastAsia="Arial" w:hAnsi="Arial"/>
          <w:sz w:val="22"/>
          <w:szCs w:val="22"/>
        </w:rPr>
        <w:t xml:space="preserve">10 MB par fichier (configurable). Rejet immédiat au-delà.</w:t>
      </w:r>
    </w:p>
    <w:p>
      <w:pPr>
        <w:pStyle w:val="ListParagraph"/>
        <w:numPr>
          <w:ilvl w:val="0"/>
          <w:numId w:val="2"/>
        </w:numPr>
        <w:spacing w:after="80"/>
      </w:pPr>
      <w:r>
        <w:rPr>
          <w:rFonts w:ascii="Arial" w:cs="Arial" w:eastAsia="Arial" w:hAnsi="Arial"/>
          <w:b/>
          <w:bCs/>
          <w:sz w:val="22"/>
          <w:szCs w:val="22"/>
        </w:rPr>
        <w:t xml:space="preserve">Sanitisation : </w:t>
      </w:r>
      <w:r>
        <w:rPr>
          <w:rFonts w:ascii="Arial" w:cs="Arial" w:eastAsia="Arial" w:hAnsi="Arial"/>
          <w:sz w:val="22"/>
          <w:szCs w:val="22"/>
        </w:rPr>
        <w:t xml:space="preserve">strip HTML de toutes les cellules, détection de patterns d’injection SQL (OR 1=1, UNION SELECT, etc.), échappement systématique.</w:t>
      </w:r>
    </w:p>
    <w:p>
      <w:pPr>
        <w:pStyle w:val="ListParagraph"/>
        <w:numPr>
          <w:ilvl w:val="0"/>
          <w:numId w:val="2"/>
        </w:numPr>
        <w:spacing w:after="80"/>
      </w:pPr>
      <w:r>
        <w:rPr>
          <w:rFonts w:ascii="Arial" w:cs="Arial" w:eastAsia="Arial" w:hAnsi="Arial"/>
          <w:b/>
          <w:bCs/>
          <w:sz w:val="22"/>
          <w:szCs w:val="22"/>
        </w:rPr>
        <w:t xml:space="preserve">Sandboxing : </w:t>
      </w:r>
      <w:r>
        <w:rPr>
          <w:rFonts w:ascii="Arial" w:cs="Arial" w:eastAsia="Arial" w:hAnsi="Arial"/>
          <w:sz w:val="22"/>
          <w:szCs w:val="22"/>
        </w:rPr>
        <w:t xml:space="preserve">l’import s’exécute dans un worker ARQ dédié, isolé du processus API principal.</w:t>
      </w:r>
    </w:p>
    <w:p>
      <w:pPr>
        <w:pStyle w:val="ListParagraph"/>
        <w:numPr>
          <w:ilvl w:val="0"/>
          <w:numId w:val="2"/>
        </w:numPr>
        <w:spacing w:after="80"/>
      </w:pPr>
      <w:r>
        <w:rPr>
          <w:rFonts w:ascii="Arial" w:cs="Arial" w:eastAsia="Arial" w:hAnsi="Arial"/>
          <w:b/>
          <w:bCs/>
          <w:sz w:val="22"/>
          <w:szCs w:val="22"/>
        </w:rPr>
        <w:t xml:space="preserve">Rapport d’erreurs : </w:t>
      </w:r>
      <w:r>
        <w:rPr>
          <w:rFonts w:ascii="Arial" w:cs="Arial" w:eastAsia="Arial" w:hAnsi="Arial"/>
          <w:sz w:val="22"/>
          <w:szCs w:val="22"/>
        </w:rPr>
        <w:t xml:space="preserve">chaque import génère un rapport détaillé (lignes acceptées, lignes rejetées avec raison, avertissements) accessible via le back-office.</w:t>
      </w:r>
    </w:p>
    <w:p>
      <w:r>
        <w:br w:type="page"/>
      </w:r>
    </w:p>
    <w:p>
      <w:pPr>
        <w:pStyle w:val="Heading2"/>
      </w:pPr>
      <w:r>
        <w:t xml:space="preserve">3.5. Gestion des accès et authentification</w:t>
      </w:r>
    </w:p>
    <w:p>
      <w:pPr>
        <w:pStyle w:val="Heading3"/>
      </w:pPr>
      <w:r>
        <w:t xml:space="preserve">3.5.1. Authentification back-office</w:t>
      </w:r>
    </w:p>
    <w:p>
      <w:pPr>
        <w:spacing w:after="120"/>
        <w:jc w:val="both"/>
      </w:pPr>
      <w:r>
        <w:rPr>
          <w:rFonts w:ascii="Arial" w:cs="Arial" w:eastAsia="Arial" w:hAnsi="Arial"/>
          <w:b/>
          <w:bCs/>
          <w:sz w:val="22"/>
          <w:szCs w:val="22"/>
        </w:rPr>
        <w:t xml:space="preserve">Risques couverts : </w:t>
      </w:r>
      <w:r>
        <w:rPr>
          <w:rFonts w:ascii="Arial" w:cs="Arial" w:eastAsia="Arial" w:hAnsi="Arial"/>
          <w:sz w:val="22"/>
          <w:szCs w:val="22"/>
        </w:rPr>
        <w:t xml:space="preserve">R13</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1</w:t>
      </w:r>
    </w:p>
    <w:p>
      <w:pPr>
        <w:spacing w:after="120"/>
        <w:jc w:val="both"/>
      </w:pPr>
      <w:r>
        <w:rPr>
          <w:rFonts w:ascii="Arial" w:cs="Arial" w:eastAsia="Arial" w:hAnsi="Arial"/>
          <w:sz w:val="22"/>
          <w:szCs w:val="22"/>
        </w:rPr>
        <w:t xml:space="preserve">Conformément à la clarification R12, l’authentification du back-office utilise le couple email/mot de passe. Les mesures de durcissement suivantes sont appliquées :</w:t>
      </w:r>
    </w:p>
    <w:p>
      <w:pPr>
        <w:pStyle w:val="ListParagraph"/>
        <w:numPr>
          <w:ilvl w:val="0"/>
          <w:numId w:val="2"/>
        </w:numPr>
        <w:spacing w:after="80"/>
      </w:pPr>
      <w:r>
        <w:rPr>
          <w:rFonts w:ascii="Arial" w:cs="Arial" w:eastAsia="Arial" w:hAnsi="Arial"/>
          <w:b/>
          <w:bCs/>
          <w:sz w:val="22"/>
          <w:szCs w:val="22"/>
        </w:rPr>
        <w:t xml:space="preserve">Hachage bcrypt : </w:t>
      </w:r>
      <w:r>
        <w:rPr>
          <w:rFonts w:ascii="Arial" w:cs="Arial" w:eastAsia="Arial" w:hAnsi="Arial"/>
          <w:sz w:val="22"/>
          <w:szCs w:val="22"/>
        </w:rPr>
        <w:t xml:space="preserve">coût factor 12 minimum. Jamais de stockage de mot de passe en clair ou en hash réversible.</w:t>
      </w:r>
    </w:p>
    <w:p>
      <w:pPr>
        <w:pStyle w:val="ListParagraph"/>
        <w:numPr>
          <w:ilvl w:val="0"/>
          <w:numId w:val="2"/>
        </w:numPr>
        <w:spacing w:after="80"/>
      </w:pPr>
      <w:r>
        <w:rPr>
          <w:rFonts w:ascii="Arial" w:cs="Arial" w:eastAsia="Arial" w:hAnsi="Arial"/>
          <w:b/>
          <w:bCs/>
          <w:sz w:val="22"/>
          <w:szCs w:val="22"/>
        </w:rPr>
        <w:t xml:space="preserve">Sessions JWT : </w:t>
      </w:r>
      <w:r>
        <w:rPr>
          <w:rFonts w:ascii="Arial" w:cs="Arial" w:eastAsia="Arial" w:hAnsi="Arial"/>
          <w:sz w:val="22"/>
          <w:szCs w:val="22"/>
        </w:rPr>
        <w:t xml:space="preserve">TTL court de 30 minutes (configurable par tenant). Refresh token avec rotation (le refresh token est invalide après usage unique).</w:t>
      </w:r>
    </w:p>
    <w:p>
      <w:pPr>
        <w:pStyle w:val="ListParagraph"/>
        <w:numPr>
          <w:ilvl w:val="0"/>
          <w:numId w:val="2"/>
        </w:numPr>
        <w:spacing w:after="80"/>
      </w:pPr>
      <w:r>
        <w:rPr>
          <w:rFonts w:ascii="Arial" w:cs="Arial" w:eastAsia="Arial" w:hAnsi="Arial"/>
          <w:b/>
          <w:bCs/>
          <w:sz w:val="22"/>
          <w:szCs w:val="22"/>
        </w:rPr>
        <w:t xml:space="preserve">RBAC multi-rôles : </w:t>
      </w:r>
      <w:r>
        <w:rPr>
          <w:rFonts w:ascii="Arial" w:cs="Arial" w:eastAsia="Arial" w:hAnsi="Arial"/>
          <w:sz w:val="22"/>
          <w:szCs w:val="22"/>
        </w:rPr>
        <w:t xml:space="preserve">super_admin, admin_tenant, supervisor, viewer. Chaque rôle a des permissions explicites (whitelist, pas blacklist).</w:t>
      </w:r>
    </w:p>
    <w:p>
      <w:pPr>
        <w:pStyle w:val="ListParagraph"/>
        <w:numPr>
          <w:ilvl w:val="0"/>
          <w:numId w:val="2"/>
        </w:numPr>
        <w:spacing w:after="80"/>
      </w:pPr>
      <w:r>
        <w:rPr>
          <w:rFonts w:ascii="Arial" w:cs="Arial" w:eastAsia="Arial" w:hAnsi="Arial"/>
          <w:b/>
          <w:bCs/>
          <w:sz w:val="22"/>
          <w:szCs w:val="22"/>
        </w:rPr>
        <w:t xml:space="preserve">Politique de mots de passe : </w:t>
      </w:r>
      <w:r>
        <w:rPr>
          <w:rFonts w:ascii="Arial" w:cs="Arial" w:eastAsia="Arial" w:hAnsi="Arial"/>
          <w:sz w:val="22"/>
          <w:szCs w:val="22"/>
        </w:rPr>
        <w:t xml:space="preserve">minimum 12 caractères, au moins 1 majuscule, 1 chiffre, 1 caractère spécial. Vérification contre les mots de passe communs (liste de 10 000 mots de passe les plus courants).</w:t>
      </w:r>
    </w:p>
    <w:p>
      <w:pPr>
        <w:pStyle w:val="ListParagraph"/>
        <w:numPr>
          <w:ilvl w:val="0"/>
          <w:numId w:val="2"/>
        </w:numPr>
        <w:spacing w:after="80"/>
      </w:pPr>
      <w:r>
        <w:rPr>
          <w:rFonts w:ascii="Arial" w:cs="Arial" w:eastAsia="Arial" w:hAnsi="Arial"/>
          <w:b/>
          <w:bCs/>
          <w:sz w:val="22"/>
          <w:szCs w:val="22"/>
        </w:rPr>
        <w:t xml:space="preserve">Verrouillage de compte : </w:t>
      </w:r>
      <w:r>
        <w:rPr>
          <w:rFonts w:ascii="Arial" w:cs="Arial" w:eastAsia="Arial" w:hAnsi="Arial"/>
          <w:sz w:val="22"/>
          <w:szCs w:val="22"/>
        </w:rPr>
        <w:t xml:space="preserve">5 tentatives échouées en 15 minutes entraînent un blocage de 30 minutes, avec notification email à l’administrateur.</w:t>
      </w:r>
    </w:p>
    <w:p>
      <w:pPr>
        <w:pStyle w:val="Heading3"/>
      </w:pPr>
      <w:r>
        <w:t xml:space="preserve">3.5.2. Gestion de sessions avancée</w:t>
      </w:r>
    </w:p>
    <w:p>
      <w:pPr>
        <w:spacing w:after="120"/>
        <w:jc w:val="both"/>
      </w:pPr>
      <w:r>
        <w:rPr>
          <w:rFonts w:ascii="Arial" w:cs="Arial" w:eastAsia="Arial" w:hAnsi="Arial"/>
          <w:b/>
          <w:bCs/>
          <w:sz w:val="22"/>
          <w:szCs w:val="22"/>
        </w:rPr>
        <w:t xml:space="preserve">Risques couverts : </w:t>
      </w:r>
      <w:r>
        <w:rPr>
          <w:rFonts w:ascii="Arial" w:cs="Arial" w:eastAsia="Arial" w:hAnsi="Arial"/>
          <w:sz w:val="22"/>
          <w:szCs w:val="22"/>
        </w:rPr>
        <w:t xml:space="preserve">R13</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2</w:t>
      </w:r>
    </w:p>
    <w:p>
      <w:pPr>
        <w:spacing w:after="120"/>
        <w:jc w:val="both"/>
      </w:pPr>
      <w:r>
        <w:rPr>
          <w:rFonts w:ascii="Arial" w:cs="Arial" w:eastAsia="Arial" w:hAnsi="Arial"/>
          <w:sz w:val="22"/>
          <w:szCs w:val="22"/>
        </w:rPr>
        <w:t xml:space="preserve">En complément de l’authentification de base, une couche de gestion de session renforcée est ajoutée en Phase 2 :</w:t>
      </w:r>
    </w:p>
    <w:p>
      <w:pPr>
        <w:pStyle w:val="ListParagraph"/>
        <w:numPr>
          <w:ilvl w:val="0"/>
          <w:numId w:val="2"/>
        </w:numPr>
        <w:spacing w:after="80"/>
      </w:pPr>
      <w:r>
        <w:rPr>
          <w:rFonts w:ascii="Arial" w:cs="Arial" w:eastAsia="Arial" w:hAnsi="Arial"/>
          <w:b/>
          <w:bCs/>
          <w:sz w:val="22"/>
          <w:szCs w:val="22"/>
        </w:rPr>
        <w:t xml:space="preserve">Détection de changement d’IP : </w:t>
      </w:r>
      <w:r>
        <w:rPr>
          <w:rFonts w:ascii="Arial" w:cs="Arial" w:eastAsia="Arial" w:hAnsi="Arial"/>
          <w:sz w:val="22"/>
          <w:szCs w:val="22"/>
        </w:rPr>
        <w:t xml:space="preserve">si l’IP change pendant une session active, l’utilisateur est déconnecté et doit se réauthentifier.</w:t>
      </w:r>
    </w:p>
    <w:p>
      <w:pPr>
        <w:pStyle w:val="ListParagraph"/>
        <w:numPr>
          <w:ilvl w:val="0"/>
          <w:numId w:val="2"/>
        </w:numPr>
        <w:spacing w:after="80"/>
      </w:pPr>
      <w:r>
        <w:rPr>
          <w:rFonts w:ascii="Arial" w:cs="Arial" w:eastAsia="Arial" w:hAnsi="Arial"/>
          <w:b/>
          <w:bCs/>
          <w:sz w:val="22"/>
          <w:szCs w:val="22"/>
        </w:rPr>
        <w:t xml:space="preserve">Session unique : </w:t>
      </w:r>
      <w:r>
        <w:rPr>
          <w:rFonts w:ascii="Arial" w:cs="Arial" w:eastAsia="Arial" w:hAnsi="Arial"/>
          <w:sz w:val="22"/>
          <w:szCs w:val="22"/>
        </w:rPr>
        <w:t xml:space="preserve">une seule session active par compte. Toute nouvelle connexion invalide la session précédente.</w:t>
      </w:r>
    </w:p>
    <w:p>
      <w:pPr>
        <w:pStyle w:val="ListParagraph"/>
        <w:numPr>
          <w:ilvl w:val="0"/>
          <w:numId w:val="2"/>
        </w:numPr>
        <w:spacing w:after="80"/>
      </w:pPr>
      <w:r>
        <w:rPr>
          <w:rFonts w:ascii="Arial" w:cs="Arial" w:eastAsia="Arial" w:hAnsi="Arial"/>
          <w:b/>
          <w:bCs/>
          <w:sz w:val="22"/>
          <w:szCs w:val="22"/>
        </w:rPr>
        <w:t xml:space="preserve">Logging complet : </w:t>
      </w:r>
      <w:r>
        <w:rPr>
          <w:rFonts w:ascii="Arial" w:cs="Arial" w:eastAsia="Arial" w:hAnsi="Arial"/>
          <w:sz w:val="22"/>
          <w:szCs w:val="22"/>
        </w:rPr>
        <w:t xml:space="preserve">chaque action admin est logée avec IP, user-agent, timestamp, tenant, et action effectuée.</w:t>
      </w:r>
    </w:p>
    <w:p>
      <w:pPr>
        <w:pStyle w:val="ListParagraph"/>
        <w:numPr>
          <w:ilvl w:val="0"/>
          <w:numId w:val="2"/>
        </w:numPr>
        <w:spacing w:after="80"/>
      </w:pPr>
      <w:r>
        <w:rPr>
          <w:rFonts w:ascii="Arial" w:cs="Arial" w:eastAsia="Arial" w:hAnsi="Arial"/>
          <w:b/>
          <w:bCs/>
          <w:sz w:val="22"/>
          <w:szCs w:val="22"/>
        </w:rPr>
        <w:t xml:space="preserve">Alerte de connexion simultanée : </w:t>
      </w:r>
      <w:r>
        <w:rPr>
          <w:rFonts w:ascii="Arial" w:cs="Arial" w:eastAsia="Arial" w:hAnsi="Arial"/>
          <w:sz w:val="22"/>
          <w:szCs w:val="22"/>
        </w:rPr>
        <w:t xml:space="preserve">notification email si un même compte tente une connexion depuis 2 IP différentes dans un intervalle de 5 minutes.</w:t>
      </w:r>
    </w:p>
    <w:p>
      <w:pPr>
        <w:pStyle w:val="Heading3"/>
      </w:pPr>
      <w:r>
        <w:t xml:space="preserve">3.5.3. Authentification OTP (agent public)</w:t>
      </w:r>
    </w:p>
    <w:p>
      <w:pPr>
        <w:spacing w:after="120"/>
        <w:jc w:val="both"/>
      </w:pPr>
      <w:r>
        <w:rPr>
          <w:rFonts w:ascii="Arial" w:cs="Arial" w:eastAsia="Arial" w:hAnsi="Arial"/>
          <w:b/>
          <w:bCs/>
          <w:sz w:val="22"/>
          <w:szCs w:val="22"/>
        </w:rPr>
        <w:t xml:space="preserve">Risques couverts : </w:t>
      </w:r>
      <w:r>
        <w:rPr>
          <w:rFonts w:ascii="Arial" w:cs="Arial" w:eastAsia="Arial" w:hAnsi="Arial"/>
          <w:sz w:val="22"/>
          <w:szCs w:val="22"/>
        </w:rPr>
        <w:t xml:space="preserve">R07</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3 (module suivi de dossier)</w:t>
      </w:r>
    </w:p>
    <w:p>
      <w:pPr>
        <w:spacing w:after="120"/>
        <w:jc w:val="both"/>
      </w:pPr>
      <w:r>
        <w:rPr>
          <w:rFonts w:ascii="Arial" w:cs="Arial" w:eastAsia="Arial" w:hAnsi="Arial"/>
          <w:sz w:val="22"/>
          <w:szCs w:val="22"/>
        </w:rPr>
        <w:t xml:space="preserve">Le système OTP pour la consultation de dossier intègre les protections suivantes :</w:t>
      </w:r>
    </w:p>
    <w:p>
      <w:pPr>
        <w:pStyle w:val="ListParagraph"/>
        <w:numPr>
          <w:ilvl w:val="0"/>
          <w:numId w:val="2"/>
        </w:numPr>
        <w:spacing w:after="80"/>
      </w:pPr>
      <w:r>
        <w:rPr>
          <w:rFonts w:ascii="Arial" w:cs="Arial" w:eastAsia="Arial" w:hAnsi="Arial"/>
          <w:b/>
          <w:bCs/>
          <w:sz w:val="22"/>
          <w:szCs w:val="22"/>
        </w:rPr>
        <w:t xml:space="preserve">OTP 6 chiffres : </w:t>
      </w:r>
      <w:r>
        <w:rPr>
          <w:rFonts w:ascii="Arial" w:cs="Arial" w:eastAsia="Arial" w:hAnsi="Arial"/>
          <w:sz w:val="22"/>
          <w:szCs w:val="22"/>
        </w:rPr>
        <w:t xml:space="preserve">généré via secrets.randbelow() (crypto-sécurisé), stocké en hash SHA-256 dans Redis avec TTL de 5 minutes.</w:t>
      </w:r>
    </w:p>
    <w:p>
      <w:pPr>
        <w:pStyle w:val="ListParagraph"/>
        <w:numPr>
          <w:ilvl w:val="0"/>
          <w:numId w:val="2"/>
        </w:numPr>
        <w:spacing w:after="80"/>
      </w:pPr>
      <w:r>
        <w:rPr>
          <w:rFonts w:ascii="Arial" w:cs="Arial" w:eastAsia="Arial" w:hAnsi="Arial"/>
          <w:b/>
          <w:bCs/>
          <w:sz w:val="22"/>
          <w:szCs w:val="22"/>
        </w:rPr>
        <w:t xml:space="preserve">Anti-bruteforce : </w:t>
      </w:r>
      <w:r>
        <w:rPr>
          <w:rFonts w:ascii="Arial" w:cs="Arial" w:eastAsia="Arial" w:hAnsi="Arial"/>
          <w:sz w:val="22"/>
          <w:szCs w:val="22"/>
        </w:rPr>
        <w:t xml:space="preserve">maximum 3 tentatives par numéro de téléphone par période de 15 minutes (rate limiting dédié).</w:t>
      </w:r>
    </w:p>
    <w:p>
      <w:pPr>
        <w:pStyle w:val="ListParagraph"/>
        <w:numPr>
          <w:ilvl w:val="0"/>
          <w:numId w:val="2"/>
        </w:numPr>
        <w:spacing w:after="80"/>
      </w:pPr>
      <w:r>
        <w:rPr>
          <w:rFonts w:ascii="Arial" w:cs="Arial" w:eastAsia="Arial" w:hAnsi="Arial"/>
          <w:b/>
          <w:bCs/>
          <w:sz w:val="22"/>
          <w:szCs w:val="22"/>
        </w:rPr>
        <w:t xml:space="preserve">Anti-replay : </w:t>
      </w:r>
      <w:r>
        <w:rPr>
          <w:rFonts w:ascii="Arial" w:cs="Arial" w:eastAsia="Arial" w:hAnsi="Arial"/>
          <w:sz w:val="22"/>
          <w:szCs w:val="22"/>
        </w:rPr>
        <w:t xml:space="preserve">l’OTP est invalide immédiatement après usage (suppression de la clé Redis).</w:t>
      </w:r>
    </w:p>
    <w:p>
      <w:pPr>
        <w:pStyle w:val="ListParagraph"/>
        <w:numPr>
          <w:ilvl w:val="0"/>
          <w:numId w:val="2"/>
        </w:numPr>
        <w:spacing w:after="80"/>
      </w:pPr>
      <w:r>
        <w:rPr>
          <w:rFonts w:ascii="Arial" w:cs="Arial" w:eastAsia="Arial" w:hAnsi="Arial"/>
          <w:b/>
          <w:bCs/>
          <w:sz w:val="22"/>
          <w:szCs w:val="22"/>
        </w:rPr>
        <w:t xml:space="preserve">Scope limité : </w:t>
      </w:r>
      <w:r>
        <w:rPr>
          <w:rFonts w:ascii="Arial" w:cs="Arial" w:eastAsia="Arial" w:hAnsi="Arial"/>
          <w:sz w:val="22"/>
          <w:szCs w:val="22"/>
        </w:rPr>
        <w:t xml:space="preserve">l’authentification OTP donne accès uniquement aux dossiers associés au numéro de téléphone vérifié, pas à l’ensemble des données du tenant.</w:t>
      </w:r>
    </w:p>
    <w:p>
      <w:r>
        <w:br w:type="page"/>
      </w:r>
    </w:p>
    <w:p>
      <w:pPr>
        <w:pStyle w:val="Heading2"/>
      </w:pPr>
      <w:r>
        <w:t xml:space="preserve">3.6. Audit, traçabilité et observabilité</w:t>
      </w:r>
    </w:p>
    <w:p>
      <w:pPr>
        <w:pStyle w:val="Heading3"/>
      </w:pPr>
      <w:r>
        <w:t xml:space="preserve">3.6.1. Audit trail immuable</w:t>
      </w:r>
    </w:p>
    <w:p>
      <w:pPr>
        <w:spacing w:after="120"/>
        <w:jc w:val="both"/>
      </w:pPr>
      <w:r>
        <w:rPr>
          <w:rFonts w:ascii="Arial" w:cs="Arial" w:eastAsia="Arial" w:hAnsi="Arial"/>
          <w:b/>
          <w:bCs/>
          <w:sz w:val="22"/>
          <w:szCs w:val="22"/>
        </w:rPr>
        <w:t xml:space="preserve">Risques couverts : </w:t>
      </w:r>
      <w:r>
        <w:rPr>
          <w:rFonts w:ascii="Arial" w:cs="Arial" w:eastAsia="Arial" w:hAnsi="Arial"/>
          <w:sz w:val="22"/>
          <w:szCs w:val="22"/>
        </w:rPr>
        <w:t xml:space="preserve">R15</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2</w:t>
      </w:r>
    </w:p>
    <w:p>
      <w:pPr>
        <w:spacing w:after="120"/>
        <w:jc w:val="both"/>
      </w:pPr>
      <w:r>
        <w:rPr>
          <w:rFonts w:ascii="Arial" w:cs="Arial" w:eastAsia="Arial" w:hAnsi="Arial"/>
          <w:sz w:val="22"/>
          <w:szCs w:val="22"/>
        </w:rPr>
        <w:t xml:space="preserve">Le journal d’audit est conçu pour résister aux tentatives d’effacement post-intrusion tout en restant compatible avec l’infrastructure Nindohost :</w:t>
      </w:r>
    </w:p>
    <w:p>
      <w:pPr>
        <w:pStyle w:val="ListParagraph"/>
        <w:numPr>
          <w:ilvl w:val="0"/>
          <w:numId w:val="2"/>
        </w:numPr>
        <w:spacing w:after="80"/>
      </w:pPr>
      <w:r>
        <w:rPr>
          <w:rFonts w:ascii="Arial" w:cs="Arial" w:eastAsia="Arial" w:hAnsi="Arial"/>
          <w:b/>
          <w:bCs/>
          <w:sz w:val="22"/>
          <w:szCs w:val="22"/>
        </w:rPr>
        <w:t xml:space="preserve">Table audit_logs : </w:t>
      </w:r>
      <w:r>
        <w:rPr>
          <w:rFonts w:ascii="Arial" w:cs="Arial" w:eastAsia="Arial" w:hAnsi="Arial"/>
          <w:sz w:val="22"/>
          <w:szCs w:val="22"/>
        </w:rPr>
        <w:t xml:space="preserve">table PostgreSQL dans le schéma partagé (pas dans les schémas tenants) avec une politique INSERT ONLY. Le rôle applicatif n’a pas les droits UPDATE ou DELETE sur cette table.</w:t>
      </w:r>
    </w:p>
    <w:p>
      <w:pPr>
        <w:pStyle w:val="ListParagraph"/>
        <w:numPr>
          <w:ilvl w:val="0"/>
          <w:numId w:val="2"/>
        </w:numPr>
        <w:spacing w:after="80"/>
      </w:pPr>
      <w:r>
        <w:rPr>
          <w:rFonts w:ascii="Arial" w:cs="Arial" w:eastAsia="Arial" w:hAnsi="Arial"/>
          <w:b/>
          <w:bCs/>
          <w:sz w:val="22"/>
          <w:szCs w:val="22"/>
        </w:rPr>
        <w:t xml:space="preserve">Colonnes : </w:t>
      </w:r>
      <w:r>
        <w:rPr>
          <w:rFonts w:ascii="Arial" w:cs="Arial" w:eastAsia="Arial" w:hAnsi="Arial"/>
          <w:sz w:val="22"/>
          <w:szCs w:val="22"/>
        </w:rPr>
        <w:t xml:space="preserve">id, tenant_slug, user_id, user_type (admin/whatsapp_user), action, resource_type, resource_id, ip_address, user_agent, details (JSONB), created_at.</w:t>
      </w:r>
    </w:p>
    <w:p>
      <w:pPr>
        <w:pStyle w:val="ListParagraph"/>
        <w:numPr>
          <w:ilvl w:val="0"/>
          <w:numId w:val="2"/>
        </w:numPr>
        <w:spacing w:after="80"/>
      </w:pPr>
      <w:r>
        <w:rPr>
          <w:rFonts w:ascii="Arial" w:cs="Arial" w:eastAsia="Arial" w:hAnsi="Arial"/>
          <w:b/>
          <w:bCs/>
          <w:sz w:val="22"/>
          <w:szCs w:val="22"/>
        </w:rPr>
        <w:t xml:space="preserve">Archivage signé : </w:t>
      </w:r>
      <w:r>
        <w:rPr>
          <w:rFonts w:ascii="Arial" w:cs="Arial" w:eastAsia="Arial" w:hAnsi="Arial"/>
          <w:sz w:val="22"/>
          <w:szCs w:val="22"/>
        </w:rPr>
        <w:t xml:space="preserve">un cron job hebdomadaire exporte les logs en fichiers JSON sur MinIO, accompagnés d’un hash SHA-256 du fichier. Toute modification du fichier archivé invalide le hash.</w:t>
      </w:r>
    </w:p>
    <w:p>
      <w:pPr>
        <w:pStyle w:val="ListParagraph"/>
        <w:numPr>
          <w:ilvl w:val="0"/>
          <w:numId w:val="2"/>
        </w:numPr>
        <w:spacing w:after="80"/>
      </w:pPr>
      <w:r>
        <w:rPr>
          <w:rFonts w:ascii="Arial" w:cs="Arial" w:eastAsia="Arial" w:hAnsi="Arial"/>
          <w:b/>
          <w:bCs/>
          <w:sz w:val="22"/>
          <w:szCs w:val="22"/>
        </w:rPr>
        <w:t xml:space="preserve">Rétention : </w:t>
      </w:r>
      <w:r>
        <w:rPr>
          <w:rFonts w:ascii="Arial" w:cs="Arial" w:eastAsia="Arial" w:hAnsi="Arial"/>
          <w:sz w:val="22"/>
          <w:szCs w:val="22"/>
        </w:rPr>
        <w:t xml:space="preserve">12 mois minimum en base PostgreSQL, 24 mois sur MinIO (conformément au CPS).</w:t>
      </w:r>
    </w:p>
    <w:p>
      <w:pPr>
        <w:pStyle w:val="Heading3"/>
      </w:pPr>
      <w:r>
        <w:t xml:space="preserve">3.6.2. Monitoring et alertes</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1 (basique) + Phase 3 (avancé)</w:t>
      </w:r>
    </w:p>
    <w:p>
      <w:pPr>
        <w:spacing w:after="120"/>
        <w:jc w:val="both"/>
      </w:pPr>
      <w:r>
        <w:rPr>
          <w:rFonts w:ascii="Arial" w:cs="Arial" w:eastAsia="Arial" w:hAnsi="Arial"/>
          <w:sz w:val="22"/>
          <w:szCs w:val="22"/>
        </w:rPr>
        <w:t xml:space="preserve">Phase 1 — Monitoring de base (Prometheus + Grafana) :</w:t>
      </w:r>
    </w:p>
    <w:p>
      <w:pPr>
        <w:pStyle w:val="ListParagraph"/>
        <w:numPr>
          <w:ilvl w:val="0"/>
          <w:numId w:val="2"/>
        </w:numPr>
        <w:spacing w:after="80"/>
      </w:pPr>
      <w:r>
        <w:rPr>
          <w:rFonts w:ascii="Arial" w:cs="Arial" w:eastAsia="Arial" w:hAnsi="Arial"/>
          <w:sz w:val="22"/>
          <w:szCs w:val="22"/>
        </w:rPr>
        <w:t xml:space="preserve">Métriques infrastructure : CPU, RAM, disque, latence réseau par VPS</w:t>
      </w:r>
    </w:p>
    <w:p>
      <w:pPr>
        <w:pStyle w:val="ListParagraph"/>
        <w:numPr>
          <w:ilvl w:val="0"/>
          <w:numId w:val="2"/>
        </w:numPr>
        <w:spacing w:after="80"/>
      </w:pPr>
      <w:r>
        <w:rPr>
          <w:rFonts w:ascii="Arial" w:cs="Arial" w:eastAsia="Arial" w:hAnsi="Arial"/>
          <w:sz w:val="22"/>
          <w:szCs w:val="22"/>
        </w:rPr>
        <w:t xml:space="preserve">Métriques API : taux d’erreur, latence P95, nombre de requêtes par tenant</w:t>
      </w:r>
    </w:p>
    <w:p>
      <w:pPr>
        <w:pStyle w:val="ListParagraph"/>
        <w:numPr>
          <w:ilvl w:val="0"/>
          <w:numId w:val="2"/>
        </w:numPr>
        <w:spacing w:after="80"/>
      </w:pPr>
      <w:r>
        <w:rPr>
          <w:rFonts w:ascii="Arial" w:cs="Arial" w:eastAsia="Arial" w:hAnsi="Arial"/>
          <w:sz w:val="22"/>
          <w:szCs w:val="22"/>
        </w:rPr>
        <w:t xml:space="preserve">Métriques WhatsApp : taux d’envoi, taux de lecture, erreurs API Meta</w:t>
      </w:r>
    </w:p>
    <w:p>
      <w:pPr>
        <w:pStyle w:val="ListParagraph"/>
        <w:numPr>
          <w:ilvl w:val="0"/>
          <w:numId w:val="2"/>
        </w:numPr>
        <w:spacing w:after="80"/>
      </w:pPr>
      <w:r>
        <w:rPr>
          <w:rFonts w:ascii="Arial" w:cs="Arial" w:eastAsia="Arial" w:hAnsi="Arial"/>
          <w:sz w:val="22"/>
          <w:szCs w:val="22"/>
        </w:rPr>
        <w:t xml:space="preserve">Métriques Gemini : latence TTFT, tokens consommés, coût estimé par tenant</w:t>
      </w:r>
    </w:p>
    <w:p>
      <w:pPr>
        <w:pStyle w:val="ListParagraph"/>
        <w:numPr>
          <w:ilvl w:val="0"/>
          <w:numId w:val="2"/>
        </w:numPr>
        <w:spacing w:after="80"/>
      </w:pPr>
      <w:r>
        <w:rPr>
          <w:rFonts w:ascii="Arial" w:cs="Arial" w:eastAsia="Arial" w:hAnsi="Arial"/>
          <w:sz w:val="22"/>
          <w:szCs w:val="22"/>
        </w:rPr>
        <w:t xml:space="preserve">Métriques RAG : score de confiance moyen, taux de fallback, temps de retrieval Qdrant</w:t>
      </w:r>
    </w:p>
    <w:p>
      <w:pPr>
        <w:spacing w:after="120"/>
        <w:jc w:val="both"/>
      </w:pPr>
      <w:r>
        <w:rPr>
          <w:rFonts w:ascii="Arial" w:cs="Arial" w:eastAsia="Arial" w:hAnsi="Arial"/>
          <w:sz w:val="22"/>
          <w:szCs w:val="22"/>
        </w:rPr>
        <w:t xml:space="preserve">Phase 3 — Détection d’anomalies :</w:t>
      </w:r>
    </w:p>
    <w:p>
      <w:pPr>
        <w:pStyle w:val="ListParagraph"/>
        <w:numPr>
          <w:ilvl w:val="0"/>
          <w:numId w:val="2"/>
        </w:numPr>
        <w:spacing w:after="80"/>
      </w:pPr>
      <w:r>
        <w:rPr>
          <w:rFonts w:ascii="Arial" w:cs="Arial" w:eastAsia="Arial" w:hAnsi="Arial"/>
          <w:sz w:val="22"/>
          <w:szCs w:val="22"/>
        </w:rPr>
        <w:t xml:space="preserve">Règles de seuil Prometheus AlertManager sur les métriques agrégées</w:t>
      </w:r>
    </w:p>
    <w:p>
      <w:pPr>
        <w:pStyle w:val="ListParagraph"/>
        <w:numPr>
          <w:ilvl w:val="0"/>
          <w:numId w:val="2"/>
        </w:numPr>
        <w:spacing w:after="80"/>
      </w:pPr>
      <w:r>
        <w:rPr>
          <w:rFonts w:ascii="Arial" w:cs="Arial" w:eastAsia="Arial" w:hAnsi="Arial"/>
          <w:sz w:val="22"/>
          <w:szCs w:val="22"/>
        </w:rPr>
        <w:t xml:space="preserve">Alerte si un utilisateur WhatsApp dépasse 50 messages/heure (aspiration de base)</w:t>
      </w:r>
    </w:p>
    <w:p>
      <w:pPr>
        <w:pStyle w:val="ListParagraph"/>
        <w:numPr>
          <w:ilvl w:val="0"/>
          <w:numId w:val="2"/>
        </w:numPr>
        <w:spacing w:after="80"/>
      </w:pPr>
      <w:r>
        <w:rPr>
          <w:rFonts w:ascii="Arial" w:cs="Arial" w:eastAsia="Arial" w:hAnsi="Arial"/>
          <w:sz w:val="22"/>
          <w:szCs w:val="22"/>
        </w:rPr>
        <w:t xml:space="preserve">Alerte si le taux d’échec OTP dépasse 20% sur 1 heure (bruteforce coordonné)</w:t>
      </w:r>
    </w:p>
    <w:p>
      <w:pPr>
        <w:pStyle w:val="ListParagraph"/>
        <w:numPr>
          <w:ilvl w:val="0"/>
          <w:numId w:val="2"/>
        </w:numPr>
        <w:spacing w:after="80"/>
      </w:pPr>
      <w:r>
        <w:rPr>
          <w:rFonts w:ascii="Arial" w:cs="Arial" w:eastAsia="Arial" w:hAnsi="Arial"/>
          <w:sz w:val="22"/>
          <w:szCs w:val="22"/>
        </w:rPr>
        <w:t xml:space="preserve">Alerte si le coût Gemini d’un tenant dépasse 2x sa moyenne sur 24h (anomalie d’usage)</w:t>
      </w:r>
    </w:p>
    <w:p>
      <w:pPr>
        <w:pStyle w:val="ListParagraph"/>
        <w:numPr>
          <w:ilvl w:val="0"/>
          <w:numId w:val="2"/>
        </w:numPr>
        <w:spacing w:after="80"/>
      </w:pPr>
      <w:r>
        <w:rPr>
          <w:rFonts w:ascii="Arial" w:cs="Arial" w:eastAsia="Arial" w:hAnsi="Arial"/>
          <w:sz w:val="22"/>
          <w:szCs w:val="22"/>
        </w:rPr>
        <w:t xml:space="preserve">Dashboard Grafana dédié « Sécurité » avec les alertes actives, les tentatives BOLA, et les injections détectées</w:t>
      </w:r>
    </w:p>
    <w:p>
      <w:pPr>
        <w:pStyle w:val="Heading3"/>
      </w:pPr>
      <w:r>
        <w:t xml:space="preserve">3.6.3. Gestion des secrets</w:t>
      </w:r>
    </w:p>
    <w:p>
      <w:pPr>
        <w:spacing w:after="120"/>
        <w:jc w:val="both"/>
      </w:pPr>
      <w:r>
        <w:rPr>
          <w:rFonts w:ascii="Arial" w:cs="Arial" w:eastAsia="Arial" w:hAnsi="Arial"/>
          <w:b/>
          <w:bCs/>
          <w:sz w:val="22"/>
          <w:szCs w:val="22"/>
        </w:rPr>
        <w:t xml:space="preserve">Phase : </w:t>
      </w:r>
      <w:r>
        <w:rPr>
          <w:rFonts w:ascii="Arial" w:cs="Arial" w:eastAsia="Arial" w:hAnsi="Arial"/>
          <w:sz w:val="22"/>
          <w:szCs w:val="22"/>
        </w:rPr>
        <w:t xml:space="preserve">Phase 1</w:t>
      </w:r>
    </w:p>
    <w:p>
      <w:pPr>
        <w:spacing w:after="120"/>
        <w:jc w:val="both"/>
      </w:pPr>
      <w:r>
        <w:rPr>
          <w:rFonts w:ascii="Arial" w:cs="Arial" w:eastAsia="Arial" w:hAnsi="Arial"/>
          <w:sz w:val="22"/>
          <w:szCs w:val="22"/>
        </w:rPr>
        <w:t xml:space="preserve">Toutes les clés sensibles suivent une politique stricte de gestion :</w:t>
      </w:r>
    </w:p>
    <w:p>
      <w:pPr>
        <w:pStyle w:val="ListParagraph"/>
        <w:numPr>
          <w:ilvl w:val="0"/>
          <w:numId w:val="2"/>
        </w:numPr>
        <w:spacing w:after="80"/>
      </w:pPr>
      <w:r>
        <w:rPr>
          <w:rFonts w:ascii="Arial" w:cs="Arial" w:eastAsia="Arial" w:hAnsi="Arial"/>
          <w:b/>
          <w:bCs/>
          <w:sz w:val="22"/>
          <w:szCs w:val="22"/>
        </w:rPr>
        <w:t xml:space="preserve">Variables d’environnement : </w:t>
      </w:r>
      <w:r>
        <w:rPr>
          <w:rFonts w:ascii="Arial" w:cs="Arial" w:eastAsia="Arial" w:hAnsi="Arial"/>
          <w:sz w:val="22"/>
          <w:szCs w:val="22"/>
        </w:rPr>
        <w:t xml:space="preserve">clés API Gemini, tokens WhatsApp, credentials PostgreSQL/Redis/MinIO/Qdrant, master key KMS. Jamais en dur dans le code, jamais dans Docker Compose.</w:t>
      </w:r>
    </w:p>
    <w:p>
      <w:pPr>
        <w:pStyle w:val="ListParagraph"/>
        <w:numPr>
          <w:ilvl w:val="0"/>
          <w:numId w:val="2"/>
        </w:numPr>
        <w:spacing w:after="80"/>
      </w:pPr>
      <w:r>
        <w:rPr>
          <w:rFonts w:ascii="Arial" w:cs="Arial" w:eastAsia="Arial" w:hAnsi="Arial"/>
          <w:b/>
          <w:bCs/>
          <w:sz w:val="22"/>
          <w:szCs w:val="22"/>
        </w:rPr>
        <w:t xml:space="preserve">Fichier .env : </w:t>
      </w:r>
      <w:r>
        <w:rPr>
          <w:rFonts w:ascii="Arial" w:cs="Arial" w:eastAsia="Arial" w:hAnsi="Arial"/>
          <w:sz w:val="22"/>
          <w:szCs w:val="22"/>
        </w:rPr>
        <w:t xml:space="preserve">non versionné (.gitignore), présent uniquement sur les VPS de production. Permissions 600 (lecture seule pour le propriétaire).</w:t>
      </w:r>
    </w:p>
    <w:p>
      <w:pPr>
        <w:pStyle w:val="ListParagraph"/>
        <w:numPr>
          <w:ilvl w:val="0"/>
          <w:numId w:val="2"/>
        </w:numPr>
        <w:spacing w:after="80"/>
      </w:pPr>
      <w:r>
        <w:rPr>
          <w:rFonts w:ascii="Arial" w:cs="Arial" w:eastAsia="Arial" w:hAnsi="Arial"/>
          <w:b/>
          <w:bCs/>
          <w:sz w:val="22"/>
          <w:szCs w:val="22"/>
        </w:rPr>
        <w:t xml:space="preserve">Rotation : </w:t>
      </w:r>
      <w:r>
        <w:rPr>
          <w:rFonts w:ascii="Arial" w:cs="Arial" w:eastAsia="Arial" w:hAnsi="Arial"/>
          <w:sz w:val="22"/>
          <w:szCs w:val="22"/>
        </w:rPr>
        <w:t xml:space="preserve">rotation planifiée des tokens WhatsApp (tous les 90 jours), des credentials DB (tous les 180 jours).</w:t>
      </w:r>
    </w:p>
    <w:p>
      <w:pPr>
        <w:pStyle w:val="ListParagraph"/>
        <w:numPr>
          <w:ilvl w:val="0"/>
          <w:numId w:val="2"/>
        </w:numPr>
        <w:spacing w:after="80"/>
      </w:pPr>
      <w:r>
        <w:rPr>
          <w:rFonts w:ascii="Arial" w:cs="Arial" w:eastAsia="Arial" w:hAnsi="Arial"/>
          <w:b/>
          <w:bCs/>
          <w:sz w:val="22"/>
          <w:szCs w:val="22"/>
        </w:rPr>
        <w:t xml:space="preserve">Évolution : </w:t>
      </w:r>
      <w:r>
        <w:rPr>
          <w:rFonts w:ascii="Arial" w:cs="Arial" w:eastAsia="Arial" w:hAnsi="Arial"/>
          <w:sz w:val="22"/>
          <w:szCs w:val="22"/>
        </w:rPr>
        <w:t xml:space="preserve">migration vers Docker Secrets ou HashiCorp Vault en post-marché si le volume de secrets augmente.</w:t>
      </w:r>
    </w:p>
    <w:p>
      <w:r>
        <w:br w:type="page"/>
      </w:r>
    </w:p>
    <w:p>
      <w:pPr>
        <w:pStyle w:val="Heading1"/>
      </w:pPr>
      <w:r>
        <w:t xml:space="preserve">4. Mesures évaluées et écartées</w:t>
      </w:r>
    </w:p>
    <w:p>
      <w:pPr>
        <w:spacing w:after="120"/>
        <w:jc w:val="both"/>
      </w:pPr>
      <w:r>
        <w:rPr>
          <w:rFonts w:ascii="Arial" w:cs="Arial" w:eastAsia="Arial" w:hAnsi="Arial"/>
          <w:sz w:val="22"/>
          <w:szCs w:val="22"/>
        </w:rPr>
        <w:t xml:space="preserve">Les mesures suivantes ont été évaluées mais non retenues pour le périmètre actuel du marché. Chaque décision est justifiée.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Mesure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Statut</w:t>
            </w:r>
          </w:p>
        </w:tc>
        <w:tc>
          <w:tcPr>
            <w:tcW w:type="dxa" w:w="5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NeMo Guardrails (NVIDIA)</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Écarté</w:t>
            </w:r>
          </w:p>
        </w:tc>
        <w:tc>
          <w:tcPr>
            <w:tcW w:type="dxa" w:w="54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Framework lourd conçu pour l’écosystème NVIDIA. Overhead de latence incompatible avec le SLA &lt; 2s. Remplacé par un module guardrails custom léger intégré à LangGraph.</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Differential Privacy (Qdrant)</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Écarté</w:t>
            </w:r>
          </w:p>
        </w:tc>
        <w:tc>
          <w:tcPr>
            <w:tcW w:type="dxa" w:w="54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Pertinent quand des utilisateurs alimentent la base vectorielle. Ici, seuls les admins CRI alimentent la KB via le back-office. L’isolation par collection Qdrant par tenant est suffisante.</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Confidential Computing (TEE/SGX/SEV)</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Reporté (post-marché)</w:t>
            </w:r>
          </w:p>
        </w:tc>
        <w:tc>
          <w:tcPr>
            <w:tcW w:type="dxa" w:w="54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Les VPS Nindohost ne supportent pas Intel SGX ou AMD SEV (serveurs virtualisés standard, clarification R5). Disproportionné pour le budget et l’infrastructure actuelle.</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HSM matériel (Hardware Security Module)</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Reporté (post-marché)</w:t>
            </w:r>
          </w:p>
        </w:tc>
        <w:tc>
          <w:tcPr>
            <w:tcW w:type="dxa" w:w="54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Coût prohibitif, incompatible avec l’infrastructure VPS. Remplacé par un KMS logiciel avec clé par tenant.</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Passkeys FIDO2/WebAuthn</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Écarté</w:t>
            </w:r>
          </w:p>
        </w:tc>
        <w:tc>
          <w:tcPr>
            <w:tcW w:type="dxa" w:w="54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La clarification R12 du CPS spécifie explicitement « authentification classique (email/mot de passe) suffisante pour le back-office ». Déployer WebAuthn pour 10 admins est disproportionné.</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Authentification continue (behavioral)</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Simplifié</w:t>
            </w:r>
          </w:p>
        </w:tc>
        <w:tc>
          <w:tcPr>
            <w:tcW w:type="dxa" w:w="54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L’analyse comportementale (vitesse de frappe, patterns) est un projet de recherche en soi. Simplifié en détection de changement d’IP + session unique + alertes basiques.</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AI-powered SIEM complet</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Simplifié</w:t>
            </w:r>
          </w:p>
        </w:tc>
        <w:tc>
          <w:tcPr>
            <w:tcW w:type="dxa" w:w="54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Un SIEM avec analyse IA est disproportionné pour notre volumétrie (100+ conversations, 10 admins). Simplifié en règles de seuil Prometheus AlertManager.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mTLS complet intra-Docker</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Simplifié</w:t>
            </w:r>
          </w:p>
        </w:tc>
        <w:tc>
          <w:tcPr>
            <w:tcW w:type="dxa" w:w="54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mTLS entre Redis et FastAPI sur le même hôte Docker est un overhead inutile. Le réseau Docker bridge privé est suffisant pour les communications intra-VPS. mTLS réservé aux communications inter-VPS.</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Micro-segmentation Kubernetes</w:t>
            </w:r>
          </w:p>
        </w:tc>
        <w:tc>
          <w:tcPr>
            <w:tcW w:type="dxa" w:w="1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Adapté</w:t>
            </w:r>
          </w:p>
        </w:tc>
        <w:tc>
          <w:tcPr>
            <w:tcW w:type="dxa" w:w="54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L’architecture utilise Docker Compose, pas Kubernetes. Les Network Policies K8s sont remplacées par des Docker networks dédiés (frontend/backend).</w:t>
            </w:r>
          </w:p>
        </w:tc>
      </w:tr>
    </w:tbl>
    <w:p>
      <w:r>
        <w:br w:type="page"/>
      </w:r>
    </w:p>
    <w:p>
      <w:pPr>
        <w:pStyle w:val="Heading1"/>
      </w:pPr>
      <w:r>
        <w:t xml:space="preserve">5. Phasage d’implémentation sécurité</w:t>
      </w:r>
    </w:p>
    <w:p>
      <w:pPr>
        <w:spacing w:after="120"/>
        <w:jc w:val="both"/>
      </w:pPr>
      <w:r>
        <w:rPr>
          <w:rFonts w:ascii="Arial" w:cs="Arial" w:eastAsia="Arial" w:hAnsi="Arial"/>
          <w:sz w:val="22"/>
          <w:szCs w:val="22"/>
        </w:rPr>
        <w:t xml:space="preserve">Le déploiement des mesures de sécurité suit le phasage global du projet, avec une logique de priorisation : les mesures critiques (exposition publique, conformité CNDP, anti-BOLA) sont en Phase 1, les mesures de durcissement en Phase 2, et l’audit/monitoring avancé en Phase 3.</w:t>
      </w:r>
    </w:p>
    <w:p>
      <w:pPr>
        <w:pStyle w:val="Heading2"/>
      </w:pPr>
      <w:r>
        <w:t xml:space="preserve">5.1. Phase 1 — Socle sécurité (semaines 1-8)</w:t>
      </w:r>
    </w:p>
    <w:p>
      <w:pPr>
        <w:spacing w:after="120"/>
        <w:jc w:val="both"/>
      </w:pPr>
      <w:r>
        <w:rPr>
          <w:rFonts w:ascii="Arial" w:cs="Arial" w:eastAsia="Arial" w:hAnsi="Arial"/>
          <w:sz w:val="22"/>
          <w:szCs w:val="22"/>
        </w:rPr>
        <w:t xml:space="preserve">Mesures déployées avec le socle technique et l’Agent Public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026"/>
      </w:tblGrid>
      <w:tr>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Mesure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Composant</w:t>
            </w:r>
          </w:p>
        </w:tc>
        <w:tc>
          <w:tcPr>
            <w:tcW w:type="dxa" w:w="2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Effort estimé</w:t>
            </w:r>
          </w:p>
        </w:tc>
      </w:tr>
      <w:tr>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Signature HMAC-SHA256 webhook WhatsApp</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Middleware FastAPI</w:t>
            </w:r>
          </w:p>
        </w:tc>
        <w:tc>
          <w:tcPr>
            <w:tcW w:type="dxa" w:w="2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0.5 jour</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Rate limiting multi-niveau (4 niveaux)</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Redis + Middleware</w:t>
            </w:r>
          </w:p>
        </w:tc>
        <w:tc>
          <w:tcPr>
            <w:tcW w:type="dxa" w:w="2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1 jour</w:t>
            </w:r>
          </w:p>
        </w:tc>
      </w:tr>
      <w:tr>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Input Guardrails (injection, hors-périmètre)</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Nœud LangGraph IntentDetector</w:t>
            </w:r>
          </w:p>
        </w:tc>
        <w:tc>
          <w:tcPr>
            <w:tcW w:type="dxa" w:w="2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2 jours</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Output Guardrails (PII, ton, hallucination)</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Nœud LangGraph ResponseValidator</w:t>
            </w:r>
          </w:p>
        </w:tc>
        <w:tc>
          <w:tcPr>
            <w:tcW w:type="dxa" w:w="2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2 jours</w:t>
            </w:r>
          </w:p>
        </w:tc>
      </w:tr>
      <w:tr>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Anonymisation des prompts Gemini</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Service IA</w:t>
            </w:r>
          </w:p>
        </w:tc>
        <w:tc>
          <w:tcPr>
            <w:tcW w:type="dxa" w:w="2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1 jour</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Anti-BOLA middleware</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Middleware FastAPI</w:t>
            </w:r>
          </w:p>
        </w:tc>
        <w:tc>
          <w:tcPr>
            <w:tcW w:type="dxa" w:w="2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1 jour</w:t>
            </w:r>
          </w:p>
        </w:tc>
      </w:tr>
      <w:tr>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TLS 1.3 via Traefik + Let’s Encrypt</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Infrastructure</w:t>
            </w:r>
          </w:p>
        </w:tc>
        <w:tc>
          <w:tcPr>
            <w:tcW w:type="dxa" w:w="2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0.5 jour</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Headers de sécurité (CORS, CSP, HSTS)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Traefik config</w:t>
            </w:r>
          </w:p>
        </w:tc>
        <w:tc>
          <w:tcPr>
            <w:tcW w:type="dxa" w:w="2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0.5 jour</w:t>
            </w:r>
          </w:p>
        </w:tc>
      </w:tr>
      <w:tr>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Docker network isolation (frontend/backend)</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Docker Compose</w:t>
            </w:r>
          </w:p>
        </w:tc>
        <w:tc>
          <w:tcPr>
            <w:tcW w:type="dxa" w:w="2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0.5 jour</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Secret management (.env + .gitignore)</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Configuration</w:t>
            </w:r>
          </w:p>
        </w:tc>
        <w:tc>
          <w:tcPr>
            <w:tcW w:type="dxa" w:w="2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0.5 jour</w:t>
            </w:r>
          </w:p>
        </w:tc>
      </w:tr>
      <w:tr>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Authentification back-office (bcrypt + JWT + RBAC)</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Backend auth module</w:t>
            </w:r>
          </w:p>
        </w:tc>
        <w:tc>
          <w:tcPr>
            <w:tcW w:type="dxa" w:w="2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2 jours</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Logging structuré (structlog)</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Transversal</w:t>
            </w:r>
          </w:p>
        </w:tc>
        <w:tc>
          <w:tcPr>
            <w:tcW w:type="dxa" w:w="2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1 jour</w:t>
            </w:r>
          </w:p>
        </w:tc>
      </w:tr>
    </w:tbl>
    <w:p>
      <w:pPr>
        <w:spacing w:after="100"/>
      </w:pPr>
    </w:p>
    <w:p>
      <w:pPr>
        <w:spacing w:after="120"/>
        <w:jc w:val="both"/>
      </w:pPr>
      <w:r>
        <w:rPr>
          <w:rFonts w:ascii="Arial" w:cs="Arial" w:eastAsia="Arial" w:hAnsi="Arial"/>
          <w:b/>
          <w:bCs/>
          <w:sz w:val="22"/>
          <w:szCs w:val="22"/>
        </w:rPr>
        <w:t xml:space="preserve">Effort total Phase 1 : </w:t>
      </w:r>
      <w:r>
        <w:rPr>
          <w:rFonts w:ascii="Arial" w:cs="Arial" w:eastAsia="Arial" w:hAnsi="Arial"/>
          <w:sz w:val="22"/>
          <w:szCs w:val="22"/>
        </w:rPr>
        <w:t xml:space="preserve">~12.5 jours-homme</w:t>
      </w:r>
    </w:p>
    <w:p>
      <w:pPr>
        <w:pStyle w:val="Heading2"/>
      </w:pPr>
      <w:r>
        <w:t xml:space="preserve">5.2. Phase 2 — Durcissement (semaines 9-14)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026"/>
      </w:tblGrid>
      <w:tr>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Mesure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Composant</w:t>
            </w:r>
          </w:p>
        </w:tc>
        <w:tc>
          <w:tcPr>
            <w:tcW w:type="dxa" w:w="2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Effort estimé</w:t>
            </w:r>
          </w:p>
        </w:tc>
      </w:tr>
      <w:tr>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Audit trail append-only</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PostgreSQL + MinIO</w:t>
            </w:r>
          </w:p>
        </w:tc>
        <w:tc>
          <w:tcPr>
            <w:tcW w:type="dxa" w:w="2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2 jours</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KMS logiciel + clé par tenant</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Service crypto</w:t>
            </w:r>
          </w:p>
        </w:tc>
        <w:tc>
          <w:tcPr>
            <w:tcW w:type="dxa" w:w="2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3 jours</w:t>
            </w:r>
          </w:p>
        </w:tc>
      </w:tr>
      <w:tr>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Gestion de sessions avancée (IP check, session unique)</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Backend auth</w:t>
            </w:r>
          </w:p>
        </w:tc>
        <w:tc>
          <w:tcPr>
            <w:tcW w:type="dxa" w:w="2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1.5 jours</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Sanitisation imports Excel/CSV</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Worker ARQ</w:t>
            </w:r>
          </w:p>
        </w:tc>
        <w:tc>
          <w:tcPr>
            <w:tcW w:type="dxa" w:w="2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2 jours</w:t>
            </w:r>
          </w:p>
        </w:tc>
      </w:tr>
      <w:tr>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Archivage signé (SHA-256) sur MinIO</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Cron job</w:t>
            </w:r>
          </w:p>
        </w:tc>
        <w:tc>
          <w:tcPr>
            <w:tcW w:type="dxa" w:w="2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1 jour</w:t>
            </w:r>
          </w:p>
        </w:tc>
      </w:tr>
    </w:tbl>
    <w:p>
      <w:pPr>
        <w:spacing w:after="100"/>
      </w:pPr>
    </w:p>
    <w:p>
      <w:pPr>
        <w:spacing w:after="120"/>
        <w:jc w:val="both"/>
      </w:pPr>
      <w:r>
        <w:rPr>
          <w:rFonts w:ascii="Arial" w:cs="Arial" w:eastAsia="Arial" w:hAnsi="Arial"/>
          <w:b/>
          <w:bCs/>
          <w:sz w:val="22"/>
          <w:szCs w:val="22"/>
        </w:rPr>
        <w:t xml:space="preserve">Effort total Phase 2 : </w:t>
      </w:r>
      <w:r>
        <w:rPr>
          <w:rFonts w:ascii="Arial" w:cs="Arial" w:eastAsia="Arial" w:hAnsi="Arial"/>
          <w:sz w:val="22"/>
          <w:szCs w:val="22"/>
        </w:rPr>
        <w:t xml:space="preserve">~9.5 jours-homme</w:t>
      </w:r>
    </w:p>
    <w:p>
      <w:pPr>
        <w:pStyle w:val="Heading2"/>
      </w:pPr>
      <w:r>
        <w:t xml:space="preserve">5.3. Phase 3 — Audit et production (semaines 15-20)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026"/>
      </w:tblGrid>
      <w:tr>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Mesure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Composant</w:t>
            </w:r>
          </w:p>
        </w:tc>
        <w:tc>
          <w:tcPr>
            <w:tcW w:type="dxa" w:w="2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Effort estimé</w:t>
            </w:r>
          </w:p>
        </w:tc>
      </w:tr>
      <w:tr>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Règles d’anomaly detection (Prometheus AlertManager)</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Monitoring</w:t>
            </w:r>
          </w:p>
        </w:tc>
        <w:tc>
          <w:tcPr>
            <w:tcW w:type="dxa" w:w="2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2 jours</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Dashboard Grafana « Sécurité »</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Monitoring</w:t>
            </w:r>
          </w:p>
        </w:tc>
        <w:tc>
          <w:tcPr>
            <w:tcW w:type="dxa" w:w="2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1 jour</w:t>
            </w:r>
          </w:p>
        </w:tc>
      </w:tr>
      <w:tr>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Tests de pénétration (OWASP Top 10)</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QA / Sécurité</w:t>
            </w:r>
          </w:p>
        </w:tc>
        <w:tc>
          <w:tcPr>
            <w:tcW w:type="dxa" w:w="2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3 jours</w:t>
            </w:r>
          </w:p>
        </w:tc>
      </w:tr>
      <w:tr>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Audit de conformité CNDP</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Documentation</w:t>
            </w:r>
          </w:p>
        </w:tc>
        <w:tc>
          <w:tcPr>
            <w:tcW w:type="dxa" w:w="2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2 jours</w:t>
            </w:r>
          </w:p>
        </w:tc>
      </w:tr>
      <w:tr>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Tests de charge avec volet sécurité</w:t>
            </w:r>
          </w:p>
        </w:tc>
        <w:tc>
          <w:tcPr>
            <w:tcW w:type="dxa" w:w="3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QA</w:t>
            </w:r>
          </w:p>
        </w:tc>
        <w:tc>
          <w:tcPr>
            <w:tcW w:type="dxa" w:w="2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2 jours</w:t>
            </w:r>
          </w:p>
        </w:tc>
      </w:tr>
    </w:tbl>
    <w:p>
      <w:pPr>
        <w:spacing w:after="100"/>
      </w:pPr>
    </w:p>
    <w:p>
      <w:pPr>
        <w:spacing w:after="120"/>
        <w:jc w:val="both"/>
      </w:pPr>
      <w:r>
        <w:rPr>
          <w:rFonts w:ascii="Arial" w:cs="Arial" w:eastAsia="Arial" w:hAnsi="Arial"/>
          <w:b/>
          <w:bCs/>
          <w:sz w:val="22"/>
          <w:szCs w:val="22"/>
        </w:rPr>
        <w:t xml:space="preserve">Effort total Phase 3 : </w:t>
      </w:r>
      <w:r>
        <w:rPr>
          <w:rFonts w:ascii="Arial" w:cs="Arial" w:eastAsia="Arial" w:hAnsi="Arial"/>
          <w:sz w:val="22"/>
          <w:szCs w:val="22"/>
        </w:rPr>
        <w:t xml:space="preserve">~10 jours-homme</w:t>
      </w:r>
    </w:p>
    <w:p>
      <w:pPr>
        <w:spacing w:after="120"/>
        <w:jc w:val="both"/>
      </w:pPr>
      <w:r>
        <w:rPr>
          <w:rFonts w:ascii="Arial" w:cs="Arial" w:eastAsia="Arial" w:hAnsi="Arial"/>
          <w:b/>
          <w:bCs/>
          <w:sz w:val="22"/>
          <w:szCs w:val="22"/>
        </w:rPr>
        <w:t xml:space="preserve">Effort total sécurité : </w:t>
      </w:r>
      <w:r>
        <w:rPr>
          <w:rFonts w:ascii="Arial" w:cs="Arial" w:eastAsia="Arial" w:hAnsi="Arial"/>
          <w:sz w:val="22"/>
          <w:szCs w:val="22"/>
        </w:rPr>
        <w:t xml:space="preserve">~32 jours-homme répartis sur 20 semaines</w:t>
      </w:r>
    </w:p>
    <w:p>
      <w:r>
        <w:br w:type="page"/>
      </w:r>
    </w:p>
    <w:p>
      <w:pPr>
        <w:pStyle w:val="Heading1"/>
      </w:pPr>
      <w:r>
        <w:t xml:space="preserve">6. Conformité CNDP — Mapping article par article</w:t>
      </w:r>
    </w:p>
    <w:p>
      <w:pPr>
        <w:spacing w:after="120"/>
        <w:jc w:val="both"/>
      </w:pPr>
      <w:r>
        <w:rPr>
          <w:rFonts w:ascii="Arial" w:cs="Arial" w:eastAsia="Arial" w:hAnsi="Arial"/>
          <w:sz w:val="22"/>
          <w:szCs w:val="22"/>
        </w:rPr>
        <w:t xml:space="preserve">La loi 09-08 relative à la protection des personnes physiques à l’égard du traitement des données à caractère personnel impose des obligations spécifiques. Le tableau ci-dessous fait le mapping entre les exigences CNDP et les mesures techniques implémentées dans la plateforme.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4200"/>
        <w:gridCol w:w="626"/>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Exigence CNDP</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Article</w:t>
            </w:r>
          </w:p>
        </w:tc>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Mesure technique</w:t>
            </w:r>
          </w:p>
        </w:tc>
        <w:tc>
          <w:tcPr>
            <w:tcW w:type="dxa" w:w="6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Finalité déterminée et légitime</w:t>
            </w:r>
          </w:p>
        </w:tc>
        <w:tc>
          <w:tcPr>
            <w:tcW w:type="dxa" w:w="1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Art. 3</w:t>
            </w:r>
          </w:p>
        </w:tc>
        <w:tc>
          <w:tcPr>
            <w:tcW w:type="dxa" w:w="4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Les données collectées (contacts, dossiers) servent exclusivement à l’accompagnement des investisseurs. Pas de traitement secondaire.</w:t>
            </w:r>
          </w:p>
        </w:tc>
        <w:tc>
          <w:tcPr>
            <w:tcW w:type="dxa" w:w="6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P1</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Pertinence et non-excès</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Art. 3</w:t>
            </w:r>
          </w:p>
        </w:tc>
        <w:tc>
          <w:tcPr>
            <w:tcW w:type="dxa" w:w="4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Collecte minimale : seuls le numéro WhatsApp et l’identifiant de dossier sont stockés. Pas de géolocalisation, pas de profilage.</w:t>
            </w:r>
          </w:p>
        </w:tc>
        <w:tc>
          <w:tcPr>
            <w:tcW w:type="dxa" w:w="6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P1</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Conservation limitée</w:t>
            </w:r>
          </w:p>
        </w:tc>
        <w:tc>
          <w:tcPr>
            <w:tcW w:type="dxa" w:w="1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Art. 3</w:t>
            </w:r>
          </w:p>
        </w:tc>
        <w:tc>
          <w:tcPr>
            <w:tcW w:type="dxa" w:w="4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Politique de rétention définie par tenant : conversations 90 jours, logs 12 mois, dossiers selon durée légale. Purge automatisée via cron.</w:t>
            </w:r>
          </w:p>
        </w:tc>
        <w:tc>
          <w:tcPr>
            <w:tcW w:type="dxa" w:w="6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P2</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Sécurité et confidentialité</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Art. 23</w:t>
            </w:r>
          </w:p>
        </w:tc>
        <w:tc>
          <w:tcPr>
            <w:tcW w:type="dxa" w:w="4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Chiffrement au repos et en transit, isolation multi-tenant, audit trail, contrôle d’accès RBAC, rate limiting.</w:t>
            </w:r>
          </w:p>
        </w:tc>
        <w:tc>
          <w:tcPr>
            <w:tcW w:type="dxa" w:w="6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P1</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Droit d’accès</w:t>
            </w:r>
          </w:p>
        </w:tc>
        <w:tc>
          <w:tcPr>
            <w:tcW w:type="dxa" w:w="1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Art. 7</w:t>
            </w:r>
          </w:p>
        </w:tc>
        <w:tc>
          <w:tcPr>
            <w:tcW w:type="dxa" w:w="4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L’investisseur peut consulter ses données via le chatbot (suivi de dossier après OTP). Export possible via le back-office.</w:t>
            </w:r>
          </w:p>
        </w:tc>
        <w:tc>
          <w:tcPr>
            <w:tcW w:type="dxa" w:w="6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P3</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Droit de rectification</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Art. 8</w:t>
            </w:r>
          </w:p>
        </w:tc>
        <w:tc>
          <w:tcPr>
            <w:tcW w:type="dxa" w:w="4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Rectification possible via le back-office admin (l’investisseur peut signaler une erreur via le chatbot, traitée par l’agent humain).</w:t>
            </w:r>
          </w:p>
        </w:tc>
        <w:tc>
          <w:tcPr>
            <w:tcW w:type="dxa" w:w="6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P3</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Droit d’opposition</w:t>
            </w:r>
          </w:p>
        </w:tc>
        <w:tc>
          <w:tcPr>
            <w:tcW w:type="dxa" w:w="1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Art. 9</w:t>
            </w:r>
          </w:p>
        </w:tc>
        <w:tc>
          <w:tcPr>
            <w:tcW w:type="dxa" w:w="4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Opt-out des notifications WhatsApp via commande chatbot (« STOP »). Désinscription des campagnes.</w:t>
            </w:r>
          </w:p>
        </w:tc>
        <w:tc>
          <w:tcPr>
            <w:tcW w:type="dxa" w:w="6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P2</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Hébergement au Maroc</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CPS Art. 25</w:t>
            </w:r>
          </w:p>
        </w:tc>
        <w:tc>
          <w:tcPr>
            <w:tcW w:type="dxa" w:w="4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Toutes les données personnelles sur Nindohost (datacenter Maroc). Seuls les prompts anonymisés transitent vers Gemini.</w:t>
            </w:r>
          </w:p>
        </w:tc>
        <w:tc>
          <w:tcPr>
            <w:tcW w:type="dxa" w:w="6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P1</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Notification CNDP</w:t>
            </w:r>
          </w:p>
        </w:tc>
        <w:tc>
          <w:tcPr>
            <w:tcW w:type="dxa" w:w="1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Art. 12</w:t>
            </w:r>
          </w:p>
        </w:tc>
        <w:tc>
          <w:tcPr>
            <w:tcW w:type="dxa" w:w="4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Déclaration du traitement auprès de la CNDP avant mise en production (responsabilité CRI, assistée par le prestataire).</w:t>
            </w:r>
          </w:p>
        </w:tc>
        <w:tc>
          <w:tcPr>
            <w:tcW w:type="dxa" w:w="6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P3</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Traçabilité</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Art. 23</w:t>
            </w:r>
          </w:p>
        </w:tc>
        <w:tc>
          <w:tcPr>
            <w:tcW w:type="dxa" w:w="4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Audit trail immuable (append-only PostgreSQL + archivage signé MinIO). Chaque accès aux données est logé.</w:t>
            </w:r>
          </w:p>
        </w:tc>
        <w:tc>
          <w:tcPr>
            <w:tcW w:type="dxa" w:w="6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P2</w:t>
            </w:r>
          </w:p>
        </w:tc>
      </w:tr>
    </w:tbl>
    <w:p>
      <w:r>
        <w:br w:type="page"/>
      </w:r>
    </w:p>
    <w:p>
      <w:pPr>
        <w:pStyle w:val="Heading1"/>
      </w:pPr>
      <w:r>
        <w:t xml:space="preserve">7. Plan de tests de sécurité</w:t>
      </w:r>
    </w:p>
    <w:p>
      <w:pPr>
        <w:spacing w:after="120"/>
        <w:jc w:val="both"/>
      </w:pPr>
      <w:r>
        <w:rPr>
          <w:rFonts w:ascii="Arial" w:cs="Arial" w:eastAsia="Arial" w:hAnsi="Arial"/>
          <w:sz w:val="22"/>
          <w:szCs w:val="22"/>
        </w:rPr>
        <w:t xml:space="preserve">Le plan de tests de sécurité couvre trois niveaux complémentaires : tests unitaires intégrés au CI/CD, tests d’intégration en pré-production, et tests de pénétration manuels.</w:t>
      </w:r>
    </w:p>
    <w:p>
      <w:pPr>
        <w:pStyle w:val="Heading2"/>
      </w:pPr>
      <w:r>
        <w:t xml:space="preserve">7.1. Tests automatisés (CI/CD)</w:t>
      </w:r>
    </w:p>
    <w:p>
      <w:pPr>
        <w:spacing w:after="120"/>
        <w:jc w:val="both"/>
      </w:pPr>
      <w:r>
        <w:rPr>
          <w:rFonts w:ascii="Arial" w:cs="Arial" w:eastAsia="Arial" w:hAnsi="Arial"/>
          <w:sz w:val="22"/>
          <w:szCs w:val="22"/>
        </w:rPr>
        <w:t xml:space="preserve">Exécutés à chaque pull request via GitHub Actions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Catégorie</w:t>
            </w:r>
          </w:p>
        </w:tc>
        <w:tc>
          <w:tcPr>
            <w:tcW w:type="dxa" w:w="5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Scénarios de test</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Outil</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Injection de prompt</w:t>
            </w:r>
          </w:p>
        </w:tc>
        <w:tc>
          <w:tcPr>
            <w:tcW w:type="dxa" w:w="5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10+ patterns de jailbreak connus (DAN, role-play, instruction override). Vérification du refus gracieux.</w:t>
            </w:r>
          </w:p>
        </w:tc>
        <w:tc>
          <w:tcPr>
            <w:tcW w:type="dxa" w:w="2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pytest + fixtures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PII masking</w:t>
            </w:r>
          </w:p>
        </w:tc>
        <w:tc>
          <w:tcPr>
            <w:tcW w:type="dxa" w:w="5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20+ patterns PII marocains (CIN, téléphone, montants). Vérification du masquage systématique en entrée et sortie.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pytest</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Anti-BOLA</w:t>
            </w:r>
          </w:p>
        </w:tc>
        <w:tc>
          <w:tcPr>
            <w:tcW w:type="dxa" w:w="5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Tentative d’accès au dossier d’un autre utilisateur. Vérification du rejet HTTP 403.</w:t>
            </w:r>
          </w:p>
        </w:tc>
        <w:tc>
          <w:tcPr>
            <w:tcW w:type="dxa" w:w="2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pytest + httpx</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Rate limiting</w:t>
            </w:r>
          </w:p>
        </w:tc>
        <w:tc>
          <w:tcPr>
            <w:tcW w:type="dxa" w:w="5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Dépassement des 4 seuils. Vérification du HTTP 429 et du Retry-After.</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pytest + Redis mock</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Webhook signature</w:t>
            </w:r>
          </w:p>
        </w:tc>
        <w:tc>
          <w:tcPr>
            <w:tcW w:type="dxa" w:w="5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Payload avec signature valide, invalide, et absente. Vérification du 200/403.</w:t>
            </w:r>
          </w:p>
        </w:tc>
        <w:tc>
          <w:tcPr>
            <w:tcW w:type="dxa" w:w="2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pytest</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Isolation multi-tenant</w:t>
            </w:r>
          </w:p>
        </w:tc>
        <w:tc>
          <w:tcPr>
            <w:tcW w:type="dxa" w:w="5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Requête avec tenant A qui tente d’accéder aux données du tenant B. Vérification du rejet.</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pytest-asyncio</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Auth back-office</w:t>
            </w:r>
          </w:p>
        </w:tc>
        <w:tc>
          <w:tcPr>
            <w:tcW w:type="dxa" w:w="5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Login valide/invalide, expiration JWT, RBAC (chaque rôle testé sur chaque endpoint).</w:t>
            </w:r>
          </w:p>
        </w:tc>
        <w:tc>
          <w:tcPr>
            <w:tcW w:type="dxa" w:w="2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pytest + httpx</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Import Excel</w:t>
            </w:r>
          </w:p>
        </w:tc>
        <w:tc>
          <w:tcPr>
            <w:tcW w:type="dxa" w:w="5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Fichier valide, fichier trop gros, fichier avec macros, fichier avec injection SQL dans une cellule.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pytest</w:t>
            </w:r>
          </w:p>
        </w:tc>
      </w:tr>
    </w:tbl>
    <w:p>
      <w:pPr>
        <w:pStyle w:val="Heading2"/>
      </w:pPr>
      <w:r>
        <w:t xml:space="preserve">7.2. Tests de pénétration (Phase 3)</w:t>
      </w:r>
    </w:p>
    <w:p>
      <w:pPr>
        <w:spacing w:after="120"/>
        <w:jc w:val="both"/>
      </w:pPr>
      <w:r>
        <w:rPr>
          <w:rFonts w:ascii="Arial" w:cs="Arial" w:eastAsia="Arial" w:hAnsi="Arial"/>
          <w:sz w:val="22"/>
          <w:szCs w:val="22"/>
        </w:rPr>
        <w:t xml:space="preserve">Tests manuels réalisés en environnement de pré-production avant le déploiement en production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Référence OWASP</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w:t>
            </w:r>
          </w:p>
        </w:tc>
        <w:tc>
          <w:tcPr>
            <w:tcW w:type="dxa" w:w="28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Cible</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A01 - Broken Access Control</w:t>
            </w:r>
          </w:p>
        </w:tc>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Tentative d’élévation de privilèges, accès cross-tenant, IDOR sur les dossiers</w:t>
            </w:r>
          </w:p>
        </w:tc>
        <w:tc>
          <w:tcPr>
            <w:tcW w:type="dxa" w:w="28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API + Back-office</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A02 - Cryptographic Failures</w:t>
            </w:r>
          </w:p>
        </w:tc>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Vérification TLS 1.3, absence de secrets exposés, chiffrement au repos</w:t>
            </w:r>
          </w:p>
        </w:tc>
        <w:tc>
          <w:tcPr>
            <w:tcW w:type="dxa" w:w="28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Infrastructure</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A03 - Injection</w:t>
            </w:r>
          </w:p>
        </w:tc>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Injection SQL via l’API, injection de prompt via WhatsApp, CSV injection</w:t>
            </w:r>
          </w:p>
        </w:tc>
        <w:tc>
          <w:tcPr>
            <w:tcW w:type="dxa" w:w="28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API + Import</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A04 - Insecure Design</w:t>
            </w:r>
          </w:p>
        </w:tc>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Test du rate limiting, vérification de l’anti-bruteforce OTP</w:t>
            </w:r>
          </w:p>
        </w:tc>
        <w:tc>
          <w:tcPr>
            <w:tcW w:type="dxa" w:w="28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API WhatsApp</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A05 - Security Misconfiguration</w:t>
            </w:r>
          </w:p>
        </w:tc>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Headers HTTP, CORS, ports exposés, configurations par défaut</w:t>
            </w:r>
          </w:p>
        </w:tc>
        <w:tc>
          <w:tcPr>
            <w:tcW w:type="dxa" w:w="28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Traefik + Docker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A07 - Auth Failures</w:t>
            </w:r>
          </w:p>
        </w:tc>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Bruteforce login, token replay, session fixation</w:t>
            </w:r>
          </w:p>
        </w:tc>
        <w:tc>
          <w:tcPr>
            <w:tcW w:type="dxa" w:w="28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Back-office</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A09 - Logging Failures</w:t>
            </w:r>
          </w:p>
        </w:tc>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Vérification que les actions critiques sont logées, intégrité de l’audit trail</w:t>
            </w:r>
          </w:p>
        </w:tc>
        <w:tc>
          <w:tcPr>
            <w:tcW w:type="dxa" w:w="28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Audit system</w:t>
            </w:r>
          </w:p>
        </w:tc>
      </w:tr>
    </w:tbl>
    <w:p>
      <w:pPr>
        <w:pStyle w:val="Heading2"/>
      </w:pPr>
      <w:r>
        <w:t xml:space="preserve">7.3. Tests de charge avec volet sécurité (Phase 3)</w:t>
      </w:r>
    </w:p>
    <w:p>
      <w:pPr>
        <w:spacing w:after="120"/>
        <w:jc w:val="both"/>
      </w:pPr>
      <w:r>
        <w:rPr>
          <w:rFonts w:ascii="Arial" w:cs="Arial" w:eastAsia="Arial" w:hAnsi="Arial"/>
          <w:sz w:val="22"/>
          <w:szCs w:val="22"/>
        </w:rPr>
        <w:t xml:space="preserve">Les tests de charge intègrent un volet sécurité pour vérifier le comportement sous stress :</w:t>
      </w:r>
    </w:p>
    <w:p>
      <w:pPr>
        <w:pStyle w:val="ListParagraph"/>
        <w:numPr>
          <w:ilvl w:val="0"/>
          <w:numId w:val="2"/>
        </w:numPr>
        <w:spacing w:after="80"/>
      </w:pPr>
      <w:r>
        <w:rPr>
          <w:rFonts w:ascii="Arial" w:cs="Arial" w:eastAsia="Arial" w:hAnsi="Arial"/>
          <w:sz w:val="22"/>
          <w:szCs w:val="22"/>
        </w:rPr>
        <w:t xml:space="preserve">100+ conversations simultanées avec rate limiting actif : vérification que les seuils sont respectés sans faux positifs</w:t>
      </w:r>
    </w:p>
    <w:p>
      <w:pPr>
        <w:pStyle w:val="ListParagraph"/>
        <w:numPr>
          <w:ilvl w:val="0"/>
          <w:numId w:val="2"/>
        </w:numPr>
        <w:spacing w:after="80"/>
      </w:pPr>
      <w:r>
        <w:rPr>
          <w:rFonts w:ascii="Arial" w:cs="Arial" w:eastAsia="Arial" w:hAnsi="Arial"/>
          <w:sz w:val="22"/>
          <w:szCs w:val="22"/>
        </w:rPr>
        <w:t xml:space="preserve">10 tentatives OTP par seconde : vérification du blocage après 3 échecs</w:t>
      </w:r>
    </w:p>
    <w:p>
      <w:pPr>
        <w:pStyle w:val="ListParagraph"/>
        <w:numPr>
          <w:ilvl w:val="0"/>
          <w:numId w:val="2"/>
        </w:numPr>
        <w:spacing w:after="80"/>
      </w:pPr>
      <w:r>
        <w:rPr>
          <w:rFonts w:ascii="Arial" w:cs="Arial" w:eastAsia="Arial" w:hAnsi="Arial"/>
          <w:sz w:val="22"/>
          <w:szCs w:val="22"/>
        </w:rPr>
        <w:t xml:space="preserve">Webhooks simultanés de plusieurs tenants : vérification de l’isolation sous charge</w:t>
      </w:r>
    </w:p>
    <w:p>
      <w:pPr>
        <w:pStyle w:val="ListParagraph"/>
        <w:numPr>
          <w:ilvl w:val="0"/>
          <w:numId w:val="2"/>
        </w:numPr>
        <w:spacing w:after="80"/>
      </w:pPr>
      <w:r>
        <w:rPr>
          <w:rFonts w:ascii="Arial" w:cs="Arial" w:eastAsia="Arial" w:hAnsi="Arial"/>
          <w:sz w:val="22"/>
          <w:szCs w:val="22"/>
        </w:rPr>
        <w:t xml:space="preserve">Import Excel de 50 000 lignes : vérification de la stabilité du worker et de l’absence de fuite mémoire</w:t>
      </w:r>
    </w:p>
    <w:p>
      <w:r>
        <w:br w:type="page"/>
      </w:r>
    </w:p>
    <w:p>
      <w:pPr>
        <w:pStyle w:val="Heading1"/>
      </w:pPr>
      <w:r>
        <w:t xml:space="preserve">8. Synthèse et matrice de couverture</w:t>
      </w:r>
    </w:p>
    <w:p>
      <w:pPr>
        <w:spacing w:after="120"/>
        <w:jc w:val="both"/>
      </w:pPr>
      <w:r>
        <w:rPr>
          <w:rFonts w:ascii="Arial" w:cs="Arial" w:eastAsia="Arial" w:hAnsi="Arial"/>
          <w:sz w:val="22"/>
          <w:szCs w:val="22"/>
        </w:rPr>
        <w:t xml:space="preserve">Le tableau ci-dessous résume la couverture de chaque risque identifié par les mesures retenues :</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800"/>
        <w:gridCol w:w="1426"/>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Risque</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Mesures de couverture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1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Couverture</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R01 - Injection prompt</w:t>
            </w:r>
          </w:p>
        </w:tc>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Guardrails input + sandboxing contexte + refus gracieux</w:t>
            </w:r>
          </w:p>
        </w:tc>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P1</w:t>
            </w:r>
          </w:p>
        </w:tc>
        <w:tc>
          <w:tcPr>
            <w:tcW w:type="dxa" w:w="14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Complète</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R02 - Hallucination</w:t>
            </w:r>
          </w:p>
        </w:tc>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Score confiance RAG + vérification citation + disclaimer</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P1</w:t>
            </w:r>
          </w:p>
        </w:tc>
        <w:tc>
          <w:tcPr>
            <w:tcW w:type="dxa" w:w="14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Complète</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R03 - Fuite PII</w:t>
            </w:r>
          </w:p>
        </w:tc>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Masquage pré/post LLM + regex patterns marocains</w:t>
            </w:r>
          </w:p>
        </w:tc>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P1</w:t>
            </w:r>
          </w:p>
        </w:tc>
        <w:tc>
          <w:tcPr>
            <w:tcW w:type="dxa" w:w="14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Complète</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R04 - Exfiltration données</w:t>
            </w:r>
          </w:p>
        </w:tc>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Guardrails + anonymisation Gemini + rate limiting</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P1</w:t>
            </w:r>
          </w:p>
        </w:tc>
        <w:tc>
          <w:tcPr>
            <w:tcW w:type="dxa" w:w="14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Complète</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R05 - Cross-tenant</w:t>
            </w:r>
          </w:p>
        </w:tc>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5 niveaux d’isolation + micro-segmentation Docker</w:t>
            </w:r>
          </w:p>
        </w:tc>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P1</w:t>
            </w:r>
          </w:p>
        </w:tc>
        <w:tc>
          <w:tcPr>
            <w:tcW w:type="dxa" w:w="14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Complète</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R06 - Fuite clés tenant</w:t>
            </w:r>
          </w:p>
        </w:tc>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Secret management + KMS logiciel + rotation</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P1+P2</w:t>
            </w:r>
          </w:p>
        </w:tc>
        <w:tc>
          <w:tcPr>
            <w:tcW w:type="dxa" w:w="14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Complète</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R07 - BOLA/IDOR</w:t>
            </w:r>
          </w:p>
        </w:tc>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Binding user-dossier + middleware multi-tenant + OTP</w:t>
            </w:r>
          </w:p>
        </w:tc>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P1+P3</w:t>
            </w:r>
          </w:p>
        </w:tc>
        <w:tc>
          <w:tcPr>
            <w:tcW w:type="dxa" w:w="14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Complète</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R08 - Webhook forgé</w:t>
            </w:r>
          </w:p>
        </w:tc>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Signature HMAC-SHA256 + validation payload</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P1</w:t>
            </w:r>
          </w:p>
        </w:tc>
        <w:tc>
          <w:tcPr>
            <w:tcW w:type="dxa" w:w="14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Complète</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R09 - Déni de service</w:t>
            </w:r>
          </w:p>
        </w:tc>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Rate limiting 4 niveaux + headers sécurité</w:t>
            </w:r>
          </w:p>
        </w:tc>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P1</w:t>
            </w:r>
          </w:p>
        </w:tc>
        <w:tc>
          <w:tcPr>
            <w:tcW w:type="dxa" w:w="14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Complète</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R10 - Données au repos</w:t>
            </w:r>
          </w:p>
        </w:tc>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Chiffrement pgcrypto + SSE MinIO + clé par tenant</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P1+P2</w:t>
            </w:r>
          </w:p>
        </w:tc>
        <w:tc>
          <w:tcPr>
            <w:tcW w:type="dxa" w:w="14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Complète</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R11 - Violation CNDP</w:t>
            </w:r>
          </w:p>
        </w:tc>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Hébergement Maroc + anonymisation Gemini + rétention</w:t>
            </w:r>
          </w:p>
        </w:tc>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P1+P2</w:t>
            </w:r>
          </w:p>
        </w:tc>
        <w:tc>
          <w:tcPr>
            <w:tcW w:type="dxa" w:w="14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Complète</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R12 - Import malveillant</w:t>
            </w:r>
          </w:p>
        </w:tc>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Validation + parsing sécurisé + sanitisation + sandboxing</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P2</w:t>
            </w:r>
          </w:p>
        </w:tc>
        <w:tc>
          <w:tcPr>
            <w:tcW w:type="dxa" w:w="14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Complète</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R13 - Compromission admin</w:t>
            </w:r>
          </w:p>
        </w:tc>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bcrypt + JWT + RBAC + session mgmt + alertes</w:t>
            </w:r>
          </w:p>
        </w:tc>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P1+P2</w:t>
            </w:r>
          </w:p>
        </w:tc>
        <w:tc>
          <w:tcPr>
            <w:tcW w:type="dxa" w:w="14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Complète</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R14 - Interception réseau</w:t>
            </w:r>
          </w:p>
        </w:tc>
        <w:tc>
          <w:tcPr>
            <w:tcW w:type="dxa" w:w="3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TLS 1.3 + Docker networks + TLS inter-VPS</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P1</w:t>
            </w:r>
          </w:p>
        </w:tc>
        <w:tc>
          <w:tcPr>
            <w:tcW w:type="dxa" w:w="14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20"/>
                <w:szCs w:val="20"/>
              </w:rPr>
              <w:t xml:space="preserve">Complète</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R15 - Suppression traces</w:t>
            </w:r>
          </w:p>
        </w:tc>
        <w:tc>
          <w:tcPr>
            <w:tcW w:type="dxa" w:w="3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Audit trail append-only + archivage signé</w:t>
            </w:r>
          </w:p>
        </w:tc>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P2</w:t>
            </w:r>
          </w:p>
        </w:tc>
        <w:tc>
          <w:tcPr>
            <w:tcW w:type="dxa" w:w="14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sz w:val="20"/>
                <w:szCs w:val="20"/>
              </w:rPr>
              <w:t xml:space="preserve">Complète</w:t>
            </w:r>
          </w:p>
        </w:tc>
      </w:tr>
    </w:tbl>
    <w:p>
      <w:pPr>
        <w:spacing w:after="400"/>
      </w:pPr>
    </w:p>
    <w:p>
      <w:pPr>
        <w:pBdr>
          <w:top w:val="single" w:color="2E75B6" w:sz="4" w:space="8"/>
        </w:pBdr>
        <w:jc w:val="center"/>
      </w:pPr>
    </w:p>
    <w:p>
      <w:pPr>
        <w:spacing w:after="100"/>
      </w:pPr>
    </w:p>
    <w:p>
      <w:pPr>
        <w:jc w:val="center"/>
      </w:pPr>
      <w:r>
        <w:rPr>
          <w:rFonts w:ascii="Arial" w:cs="Arial" w:eastAsia="Arial" w:hAnsi="Arial"/>
          <w:i/>
          <w:iCs/>
          <w:color w:val="888888"/>
          <w:sz w:val="22"/>
          <w:szCs w:val="22"/>
        </w:rPr>
        <w:t xml:space="preserve">— Fin du Document Annexe Sécurité —</w:t>
      </w:r>
    </w:p>
    <w:p>
      <w:pPr>
        <w:spacing w:after="200"/>
      </w:pPr>
    </w:p>
    <w:p>
      <w:pPr>
        <w:jc w:val="center"/>
      </w:pPr>
      <w:r>
        <w:rPr>
          <w:rFonts w:ascii="Arial" w:cs="Arial" w:eastAsia="Arial" w:hAnsi="Arial"/>
          <w:color w:val="888888"/>
          <w:sz w:val="20"/>
          <w:szCs w:val="20"/>
        </w:rPr>
        <w:t xml:space="preserve">Ce document est confidentiel et destiné exclusivement à l’équipe projet.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Confidentiel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888888"/>
        <w:sz w:val="18"/>
        <w:szCs w:val="18"/>
      </w:rPr>
      <w:t xml:space="preserve">Annexe Sécurité — Plateforme CRI RAG Chatbot</w:t>
    </w:r>
    <w:r>
      <w:rPr>
        <w:rFonts w:ascii="Arial" w:cs="Arial" w:eastAsia="Arial" w:hAnsi="Arial"/>
        <w:color w:val="888888"/>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2026-03-24T22:47:41.705Z</dcterms:created>
  <dcterms:modified xsi:type="dcterms:W3CDTF">2026-03-24T22:47:41.706Z</dcterms:modified>
</cp:coreProperties>
</file>

<file path=docProps/custom.xml><?xml version="1.0" encoding="utf-8"?>
<Properties xmlns="http://schemas.openxmlformats.org/officeDocument/2006/custom-properties" xmlns:vt="http://schemas.openxmlformats.org/officeDocument/2006/docPropsVTypes"/>
</file>