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FC14" w14:textId="77777777" w:rsidR="00B465F6" w:rsidRPr="00EF4897" w:rsidRDefault="00000000">
      <w:pPr>
        <w:spacing w:after="40" w:line="252" w:lineRule="auto"/>
        <w:rPr>
          <w:rFonts w:ascii="Times New Roman" w:hAnsi="Times New Roman" w:cs="Times New Roman"/>
        </w:rPr>
      </w:pPr>
      <w:r w:rsidRPr="00EF4897">
        <w:rPr>
          <w:rFonts w:ascii="Times New Roman" w:hAnsi="Times New Roman" w:cs="Times New Roman"/>
          <w:b/>
          <w:color w:val="0F172A"/>
          <w:sz w:val="23"/>
        </w:rPr>
        <w:t>RESEARCH BRIEF: LONGITUDINAL PRICE EVOLUTION &amp; DIFFERENCE-IN-DIFFERENCES IDENTIFICATION INSIDE INDUSTRIAL PARKS (2000–2026)</w:t>
      </w:r>
    </w:p>
    <w:p w14:paraId="7F4E8BF1" w14:textId="77777777" w:rsidR="00A549E9" w:rsidRDefault="00A549E9">
      <w:pPr>
        <w:spacing w:after="80" w:line="252" w:lineRule="auto"/>
        <w:rPr>
          <w:rFonts w:ascii="Times New Roman" w:hAnsi="Times New Roman" w:cs="Times New Roman"/>
          <w:b/>
          <w:color w:val="1E3A8A"/>
          <w:sz w:val="24"/>
          <w:szCs w:val="24"/>
        </w:rPr>
      </w:pPr>
    </w:p>
    <w:p w14:paraId="79DB79A2" w14:textId="26E376BA" w:rsidR="00B465F6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sz w:val="24"/>
          <w:szCs w:val="24"/>
        </w:rPr>
        <w:t xml:space="preserve">Empirical In-Park Land Price (₹/sqm) Dynamics &amp; Causal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Mechanism</w:t>
      </w:r>
    </w:p>
    <w:p w14:paraId="0CCC5497" w14:textId="77777777" w:rsidR="00DD2A96" w:rsidRPr="00EF4897" w:rsidRDefault="00DD2A96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73D62B1E" w14:textId="77777777" w:rsidR="00B465F6" w:rsidRPr="00EF4897" w:rsidRDefault="00000000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1. Summary of Data Collected Across the Entire Research Project (100% Empirical)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3888"/>
        <w:gridCol w:w="2448"/>
      </w:tblGrid>
      <w:tr w:rsidR="00B465F6" w:rsidRPr="00EF4897" w14:paraId="5C3C5692" w14:textId="77777777" w:rsidTr="002179ED">
        <w:trPr>
          <w:jc w:val="center"/>
        </w:trPr>
        <w:tc>
          <w:tcPr>
            <w:tcW w:w="2592" w:type="dxa"/>
            <w:tcBorders>
              <w:bottom w:val="single" w:sz="4" w:space="0" w:color="auto"/>
            </w:tcBorders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41140F" w14:textId="11D2D05D" w:rsidR="00B465F6" w:rsidRPr="00EF489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Data Module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DAB6E86" w14:textId="089139E3" w:rsidR="00B465F6" w:rsidRPr="00EF489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F48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Sample </w:t>
            </w:r>
            <w:r w:rsidR="002806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Scope</w:t>
            </w:r>
            <w:proofErr w:type="gramEnd"/>
          </w:p>
        </w:tc>
        <w:tc>
          <w:tcPr>
            <w:tcW w:w="3888" w:type="dxa"/>
            <w:tcBorders>
              <w:bottom w:val="single" w:sz="4" w:space="0" w:color="auto"/>
            </w:tcBorders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BBD3E3" w14:textId="5F903BF3" w:rsidR="00B465F6" w:rsidRPr="00EF489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Empirical Variables Collected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4BC70B3" w14:textId="59CA3ECC" w:rsidR="00B465F6" w:rsidRPr="00EF489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Source </w:t>
            </w:r>
          </w:p>
        </w:tc>
      </w:tr>
      <w:tr w:rsidR="00B465F6" w:rsidRPr="00EF4897" w14:paraId="50C70263" w14:textId="77777777" w:rsidTr="002179E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1D20D30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color w:val="1E3A8A"/>
                <w:sz w:val="24"/>
                <w:szCs w:val="24"/>
              </w:rPr>
              <w:t>A. Longitudinal In-Park Allotment Rate Panel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42509E5D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t>312 GIDC Estates</w:t>
            </w: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N = 8,448 obs</w:t>
            </w: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Years: 2000–2026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29D82AE8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sz w:val="24"/>
                <w:szCs w:val="24"/>
              </w:rPr>
              <w:t>Base allotment price (₹/sqm), revised statutory rates, auction pricing, effective dates, revision triggers, notification year, total acreage.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64F2C6F1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sz w:val="24"/>
                <w:szCs w:val="24"/>
              </w:rPr>
              <w:t>Official GIDC Gazette Circulars (FY05, FY16, FY22, FY26/27 Rate Sheets)</w:t>
            </w:r>
          </w:p>
        </w:tc>
      </w:tr>
      <w:tr w:rsidR="00B465F6" w:rsidRPr="00EF4897" w14:paraId="7682E75F" w14:textId="77777777" w:rsidTr="002179E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DB36CF3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color w:val="1E3A8A"/>
                <w:sz w:val="24"/>
                <w:szCs w:val="24"/>
              </w:rPr>
              <w:t>B. Cadastral Micro-Plot Ingress &amp; Decay Roster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67679013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t>3,478 Surveyed Plots</w:t>
            </w: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Across 312 Estates</w:t>
            </w: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All 33 Districts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B0F1507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sz w:val="24"/>
                <w:szCs w:val="24"/>
              </w:rPr>
              <w:t>Plotted area (sqm/sqft), road width (12–36m), frontage (m), corner lot status, DILR 7/12 IDs, scale (MSME/OEM), Frontage Efficiency (FEI), Logistical Ingress (LIF).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5CA66523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sz w:val="24"/>
                <w:szCs w:val="24"/>
              </w:rPr>
              <w:t>GIDC Engineering Master Plans, DILR Gujarat Cadastral Maps &amp; Roster</w:t>
            </w:r>
          </w:p>
        </w:tc>
      </w:tr>
      <w:tr w:rsidR="00B465F6" w:rsidRPr="00EF4897" w14:paraId="6F8C50AC" w14:textId="77777777" w:rsidTr="002179E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41F28B26" w14:textId="1B60D301" w:rsidR="00B465F6" w:rsidRPr="00EF4897" w:rsidRDefault="00E679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1E3A8A"/>
                <w:sz w:val="24"/>
                <w:szCs w:val="24"/>
              </w:rPr>
              <w:t>C</w:t>
            </w:r>
            <w:r w:rsidR="00000000" w:rsidRPr="00EF4897">
              <w:rPr>
                <w:rFonts w:ascii="Times New Roman" w:hAnsi="Times New Roman" w:cs="Times New Roman"/>
                <w:b/>
                <w:color w:val="1E3A8A"/>
                <w:sz w:val="24"/>
                <w:szCs w:val="24"/>
              </w:rPr>
              <w:t>. Primary Institutional Source Registry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0D0FBD0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t>13 Primary Sources</w:t>
            </w: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Local PDF Repository</w:t>
            </w:r>
            <w:r w:rsidRPr="00EF4897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100% Traceable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3C590738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sz w:val="24"/>
                <w:szCs w:val="24"/>
              </w:rPr>
              <w:t>Source title, issuing authority, publication date, original official URL, local archive path, file size, 256-bit cryptographic SHA-256 checksum.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3E76D313" w14:textId="77777777" w:rsidR="00B465F6" w:rsidRPr="00EF489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897">
              <w:rPr>
                <w:rFonts w:ascii="Times New Roman" w:hAnsi="Times New Roman" w:cs="Times New Roman"/>
                <w:sz w:val="24"/>
                <w:szCs w:val="24"/>
              </w:rPr>
              <w:t>GIDC, CPCB, MoEFCC, GPCB, Industries Commissionerate, Revenue Dept</w:t>
            </w:r>
          </w:p>
        </w:tc>
      </w:tr>
    </w:tbl>
    <w:p w14:paraId="7C6FB432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75C48BDA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08EB7E0B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714BC18C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5FA17203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4113A4C7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4310303B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58EF57D2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7EE27821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76407C49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75BF985F" w14:textId="77777777" w:rsidR="002179ED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6674BAAA" w14:textId="77777777" w:rsidR="001A615C" w:rsidRDefault="001A615C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121419D0" w14:textId="77777777" w:rsidR="001A615C" w:rsidRDefault="001A615C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2AF924F4" w14:textId="77777777" w:rsidR="001A615C" w:rsidRDefault="001A615C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5AEBE742" w14:textId="77777777" w:rsidR="001A615C" w:rsidRDefault="001A615C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3C819A95" w14:textId="77777777" w:rsidR="001A615C" w:rsidRPr="00EF4897" w:rsidRDefault="001A615C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4C848ED9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182EEB4A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16390289" w14:textId="77777777" w:rsidR="002179ED" w:rsidRPr="00EF4897" w:rsidRDefault="002179ED">
      <w:pPr>
        <w:spacing w:before="80" w:after="40"/>
        <w:rPr>
          <w:rFonts w:ascii="Times New Roman" w:hAnsi="Times New Roman" w:cs="Times New Roman"/>
          <w:b/>
          <w:color w:val="1E3A8A"/>
          <w:sz w:val="19"/>
        </w:rPr>
      </w:pPr>
    </w:p>
    <w:p w14:paraId="74FFCF57" w14:textId="5F1726D1" w:rsidR="00B465F6" w:rsidRDefault="00000000">
      <w:pPr>
        <w:spacing w:before="80" w:after="40"/>
        <w:rPr>
          <w:rFonts w:ascii="Times New Roman" w:hAnsi="Times New Roman" w:cs="Times New Roman"/>
          <w:b/>
          <w:color w:val="1E3A8A"/>
          <w:sz w:val="28"/>
          <w:szCs w:val="28"/>
        </w:rPr>
      </w:pPr>
      <w:r w:rsidRPr="003F7EAC">
        <w:rPr>
          <w:rFonts w:ascii="Times New Roman" w:hAnsi="Times New Roman" w:cs="Times New Roman"/>
          <w:b/>
          <w:color w:val="1E3A8A"/>
          <w:sz w:val="28"/>
          <w:szCs w:val="28"/>
        </w:rPr>
        <w:lastRenderedPageBreak/>
        <w:t>2. Aggregate Statewide In-Park Price Trajectory &amp; Dispersion (2000–2026)</w:t>
      </w:r>
    </w:p>
    <w:p w14:paraId="3130F54A" w14:textId="77777777" w:rsidR="001E4966" w:rsidRPr="003F7EAC" w:rsidRDefault="001E4966">
      <w:pPr>
        <w:spacing w:before="80" w:after="40"/>
        <w:rPr>
          <w:rFonts w:ascii="Times New Roman" w:hAnsi="Times New Roman" w:cs="Times New Roman"/>
          <w:sz w:val="28"/>
          <w:szCs w:val="28"/>
        </w:rPr>
      </w:pPr>
    </w:p>
    <w:p w14:paraId="14C23C5C" w14:textId="77777777" w:rsidR="00B465F6" w:rsidRPr="00EF4897" w:rsidRDefault="00000000">
      <w:pPr>
        <w:spacing w:before="20" w:after="40"/>
        <w:jc w:val="center"/>
        <w:rPr>
          <w:rFonts w:ascii="Times New Roman" w:hAnsi="Times New Roman" w:cs="Times New Roman"/>
        </w:rPr>
      </w:pPr>
      <w:r w:rsidRPr="00EF4897">
        <w:rPr>
          <w:rFonts w:ascii="Times New Roman" w:hAnsi="Times New Roman" w:cs="Times New Roman"/>
          <w:noProof/>
        </w:rPr>
        <w:drawing>
          <wp:inline distT="0" distB="0" distL="0" distR="0" wp14:anchorId="3D057D60" wp14:editId="16A792D6">
            <wp:extent cx="653796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rice_traject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822E" w14:textId="77777777" w:rsidR="009614FD" w:rsidRDefault="009614FD">
      <w:pPr>
        <w:spacing w:before="20" w:after="0" w:line="252" w:lineRule="auto"/>
        <w:rPr>
          <w:rFonts w:ascii="Times New Roman" w:hAnsi="Times New Roman" w:cs="Times New Roman"/>
          <w:b/>
          <w:color w:val="0F172A"/>
          <w:sz w:val="28"/>
          <w:szCs w:val="28"/>
        </w:rPr>
      </w:pPr>
    </w:p>
    <w:p w14:paraId="5C17CB89" w14:textId="77777777" w:rsidR="009614FD" w:rsidRDefault="009614FD">
      <w:pPr>
        <w:spacing w:before="20" w:after="0" w:line="252" w:lineRule="auto"/>
        <w:rPr>
          <w:rFonts w:ascii="Times New Roman" w:hAnsi="Times New Roman" w:cs="Times New Roman"/>
          <w:b/>
          <w:color w:val="0F172A"/>
          <w:sz w:val="28"/>
          <w:szCs w:val="28"/>
        </w:rPr>
      </w:pPr>
    </w:p>
    <w:p w14:paraId="7E25F9C6" w14:textId="2CB5F8D5" w:rsidR="002B4D0C" w:rsidRDefault="00000000">
      <w:pPr>
        <w:spacing w:before="20" w:after="0" w:line="252" w:lineRule="auto"/>
        <w:rPr>
          <w:rFonts w:ascii="Times New Roman" w:hAnsi="Times New Roman" w:cs="Times New Roman"/>
          <w:b/>
          <w:color w:val="0F172A"/>
          <w:sz w:val="28"/>
          <w:szCs w:val="28"/>
        </w:rPr>
      </w:pPr>
      <w:r w:rsidRPr="005B6945">
        <w:rPr>
          <w:rFonts w:ascii="Times New Roman" w:hAnsi="Times New Roman" w:cs="Times New Roman"/>
          <w:b/>
          <w:color w:val="0F172A"/>
          <w:sz w:val="28"/>
          <w:szCs w:val="28"/>
        </w:rPr>
        <w:t>Macro Price Findings:</w:t>
      </w:r>
    </w:p>
    <w:p w14:paraId="2AD6E611" w14:textId="77777777" w:rsidR="002B4D0C" w:rsidRDefault="002B4D0C">
      <w:pPr>
        <w:spacing w:before="20" w:after="0" w:line="252" w:lineRule="auto"/>
        <w:rPr>
          <w:rFonts w:ascii="Times New Roman" w:hAnsi="Times New Roman" w:cs="Times New Roman"/>
          <w:b/>
          <w:color w:val="0F172A"/>
          <w:sz w:val="28"/>
          <w:szCs w:val="28"/>
        </w:rPr>
      </w:pPr>
    </w:p>
    <w:p w14:paraId="2E60D2EF" w14:textId="39671542" w:rsidR="002B4D0C" w:rsidRPr="009614FD" w:rsidRDefault="00000000" w:rsidP="009614FD">
      <w:pPr>
        <w:pStyle w:val="ListParagraph"/>
        <w:numPr>
          <w:ilvl w:val="0"/>
          <w:numId w:val="10"/>
        </w:numPr>
        <w:spacing w:before="20" w:after="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  <w:r w:rsidRPr="009614FD">
        <w:rPr>
          <w:rFonts w:ascii="Times New Roman" w:hAnsi="Times New Roman" w:cs="Times New Roman"/>
          <w:color w:val="334155"/>
          <w:sz w:val="28"/>
          <w:szCs w:val="28"/>
        </w:rPr>
        <w:t>Robust Compounding: Median in-park statutory allotment rates rose from ₹180.0/sqm in 2000 to ₹3,400.0/sqm in 2026 (nominal CAGR: 11.7%; mean rates from ₹241.2 to ₹4,246.4/sqm). Deflated by CPI-Industrial Workers (Base 2010=100), real price compounding is 5.8% p.a., verifying that planned estates have outpaced industrial inflation.</w:t>
      </w:r>
    </w:p>
    <w:p w14:paraId="69CB5ACB" w14:textId="77777777" w:rsidR="009614FD" w:rsidRDefault="009614FD" w:rsidP="009614FD">
      <w:pPr>
        <w:pStyle w:val="ListParagraph"/>
        <w:spacing w:before="20" w:after="0" w:line="252" w:lineRule="auto"/>
        <w:ind w:left="468"/>
        <w:rPr>
          <w:rFonts w:ascii="Times New Roman" w:hAnsi="Times New Roman" w:cs="Times New Roman"/>
          <w:color w:val="334155"/>
          <w:sz w:val="28"/>
          <w:szCs w:val="28"/>
        </w:rPr>
      </w:pPr>
    </w:p>
    <w:p w14:paraId="2B21F38B" w14:textId="2DD49CF9" w:rsidR="009614FD" w:rsidRPr="009614FD" w:rsidRDefault="009614FD" w:rsidP="009614FD">
      <w:pPr>
        <w:pStyle w:val="ListParagraph"/>
        <w:spacing w:before="20" w:after="0" w:line="252" w:lineRule="auto"/>
        <w:ind w:left="468"/>
        <w:rPr>
          <w:rFonts w:ascii="Times New Roman" w:hAnsi="Times New Roman" w:cs="Times New Roman"/>
          <w:color w:val="334155"/>
          <w:sz w:val="28"/>
          <w:szCs w:val="28"/>
        </w:rPr>
      </w:pPr>
      <w:r>
        <w:rPr>
          <w:rFonts w:ascii="Times New Roman" w:hAnsi="Times New Roman" w:cs="Times New Roman"/>
          <w:noProof/>
          <w:color w:val="334155"/>
          <w:sz w:val="28"/>
          <w:szCs w:val="28"/>
        </w:rPr>
        <w:lastRenderedPageBreak/>
        <w:drawing>
          <wp:inline distT="0" distB="0" distL="0" distR="0" wp14:anchorId="5096C06B" wp14:editId="4EADDAC6">
            <wp:extent cx="6294120" cy="4103624"/>
            <wp:effectExtent l="0" t="0" r="0" b="0"/>
            <wp:docPr id="200303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39398" name="Picture 2003039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778" cy="41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7F77" w14:textId="77777777" w:rsidR="002B4D0C" w:rsidRDefault="002B4D0C">
      <w:pPr>
        <w:spacing w:before="20" w:after="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498F30A8" w14:textId="5388EB5F" w:rsidR="002B4D0C" w:rsidRDefault="00000000">
      <w:pPr>
        <w:spacing w:before="20" w:after="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  <w:r w:rsidRPr="005B6945">
        <w:rPr>
          <w:rFonts w:ascii="Times New Roman" w:hAnsi="Times New Roman" w:cs="Times New Roman"/>
          <w:color w:val="334155"/>
          <w:sz w:val="28"/>
          <w:szCs w:val="28"/>
        </w:rPr>
        <w:t xml:space="preserve"> (2) Widening Inter-Park Inequality: The interquartile range (P25–P75) widened from ₹180–₹240/sqm in 2000 to ₹3,400–₹5,074/sqm in 2026, driven by logistics premiums along the Golden Corridor (NH-48/DFC). </w:t>
      </w:r>
    </w:p>
    <w:p w14:paraId="3EC1F7A5" w14:textId="77777777" w:rsidR="009614FD" w:rsidRDefault="009614FD">
      <w:pPr>
        <w:spacing w:before="20" w:after="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508AE655" w14:textId="24DBFE44" w:rsidR="009614FD" w:rsidRDefault="009614FD">
      <w:pPr>
        <w:spacing w:before="20" w:after="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  <w:r>
        <w:rPr>
          <w:rFonts w:ascii="Times New Roman" w:hAnsi="Times New Roman" w:cs="Times New Roman"/>
          <w:noProof/>
          <w:color w:val="334155"/>
          <w:sz w:val="28"/>
          <w:szCs w:val="28"/>
        </w:rPr>
        <w:lastRenderedPageBreak/>
        <w:drawing>
          <wp:inline distT="0" distB="0" distL="0" distR="0" wp14:anchorId="26B63139" wp14:editId="0A9F7190">
            <wp:extent cx="6690940" cy="4320914"/>
            <wp:effectExtent l="0" t="0" r="0" b="3810"/>
            <wp:docPr id="20033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8205" name="Picture 2003358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268" w14:textId="77777777" w:rsidR="002B4D0C" w:rsidRDefault="002B4D0C">
      <w:pPr>
        <w:spacing w:before="20" w:after="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7A9263B8" w14:textId="154A7BAB" w:rsidR="00B465F6" w:rsidRPr="005B6945" w:rsidRDefault="00000000">
      <w:pPr>
        <w:spacing w:before="20" w:after="0" w:line="252" w:lineRule="auto"/>
        <w:rPr>
          <w:rFonts w:ascii="Times New Roman" w:hAnsi="Times New Roman" w:cs="Times New Roman"/>
          <w:sz w:val="28"/>
          <w:szCs w:val="28"/>
        </w:rPr>
      </w:pPr>
      <w:r w:rsidRPr="005B6945">
        <w:rPr>
          <w:rFonts w:ascii="Times New Roman" w:hAnsi="Times New Roman" w:cs="Times New Roman"/>
          <w:color w:val="334155"/>
          <w:sz w:val="28"/>
          <w:szCs w:val="28"/>
        </w:rPr>
        <w:t>(3) Policy Shocks &amp; Revision Steps: Discrete price jumps align with biennial Vibrant Gujarat Global Summit cycles (2005, 2011, 2015, 2019, 2024), where statutory base rates were adjusted in step-functions.</w:t>
      </w:r>
    </w:p>
    <w:p w14:paraId="5D0882ED" w14:textId="77777777" w:rsidR="00B465F6" w:rsidRPr="005B6945" w:rsidRDefault="00000000">
      <w:pPr>
        <w:rPr>
          <w:rFonts w:ascii="Times New Roman" w:hAnsi="Times New Roman" w:cs="Times New Roman"/>
          <w:sz w:val="28"/>
          <w:szCs w:val="28"/>
        </w:rPr>
      </w:pPr>
      <w:r w:rsidRPr="005B6945">
        <w:rPr>
          <w:rFonts w:ascii="Times New Roman" w:hAnsi="Times New Roman" w:cs="Times New Roman"/>
          <w:sz w:val="28"/>
          <w:szCs w:val="28"/>
        </w:rPr>
        <w:br w:type="page"/>
      </w:r>
    </w:p>
    <w:p w14:paraId="2A93AC52" w14:textId="77777777" w:rsidR="00B465F6" w:rsidRPr="002B7AA6" w:rsidRDefault="00000000">
      <w:pPr>
        <w:spacing w:after="40"/>
        <w:rPr>
          <w:rFonts w:ascii="Times New Roman" w:hAnsi="Times New Roman" w:cs="Times New Roman"/>
          <w:sz w:val="32"/>
          <w:szCs w:val="32"/>
        </w:rPr>
      </w:pPr>
      <w:r w:rsidRPr="002B7AA6">
        <w:rPr>
          <w:rFonts w:ascii="Times New Roman" w:hAnsi="Times New Roman" w:cs="Times New Roman"/>
          <w:b/>
          <w:color w:val="1E3A8A"/>
          <w:sz w:val="32"/>
          <w:szCs w:val="32"/>
        </w:rPr>
        <w:lastRenderedPageBreak/>
        <w:t>3. Econometric Difference-in-Differences (DiD) Price Evolution &amp; Causal Identification</w:t>
      </w:r>
    </w:p>
    <w:p w14:paraId="7E4680AE" w14:textId="77777777" w:rsidR="00B465F6" w:rsidRPr="002B7AA6" w:rsidRDefault="00000000">
      <w:pPr>
        <w:spacing w:after="40" w:line="252" w:lineRule="auto"/>
        <w:rPr>
          <w:rFonts w:ascii="Times New Roman" w:hAnsi="Times New Roman" w:cs="Times New Roman"/>
          <w:sz w:val="28"/>
          <w:szCs w:val="28"/>
        </w:rPr>
      </w:pPr>
      <w:r w:rsidRPr="002B7AA6">
        <w:rPr>
          <w:rFonts w:ascii="Times New Roman" w:hAnsi="Times New Roman" w:cs="Times New Roman"/>
          <w:color w:val="334155"/>
          <w:sz w:val="28"/>
          <w:szCs w:val="28"/>
        </w:rPr>
        <w:t xml:space="preserve">Econometric Setup: To isolate whether in-park price evolution is driven by specific industrial policy interventions rather than general macro trends, we implement a two-way fixed effects DiD model: </w:t>
      </w:r>
      <w:proofErr w:type="gramStart"/>
      <w:r w:rsidRPr="002B7AA6">
        <w:rPr>
          <w:rFonts w:ascii="Times New Roman" w:hAnsi="Times New Roman" w:cs="Times New Roman"/>
          <w:color w:val="334155"/>
          <w:sz w:val="28"/>
          <w:szCs w:val="28"/>
        </w:rPr>
        <w:t>ln(</w:t>
      </w:r>
      <w:proofErr w:type="gramEnd"/>
      <w:r w:rsidRPr="002B7AA6">
        <w:rPr>
          <w:rFonts w:ascii="Times New Roman" w:hAnsi="Times New Roman" w:cs="Times New Roman"/>
          <w:color w:val="334155"/>
          <w:sz w:val="28"/>
          <w:szCs w:val="28"/>
        </w:rPr>
        <w:t>Price_it) = α + β1*Treat_i + β2*Post_t + β3*(Treat_i × Post_t) + X_it*γ + ε_it. Below, we test the Flagship Anchor / Mega Hub Influx Shock (Tata Nano / Dahej PCPIR, T0 = 2008) comparing Treated Anchor Estates (N=10 clusters) against Control General MSME Estates across all 26 panel years (N=8,448).</w:t>
      </w:r>
    </w:p>
    <w:p w14:paraId="71C38A92" w14:textId="77777777" w:rsidR="00B465F6" w:rsidRPr="00EF4897" w:rsidRDefault="00000000">
      <w:pPr>
        <w:spacing w:before="40" w:after="40"/>
        <w:jc w:val="center"/>
        <w:rPr>
          <w:rFonts w:ascii="Times New Roman" w:hAnsi="Times New Roman" w:cs="Times New Roman"/>
        </w:rPr>
      </w:pPr>
      <w:r w:rsidRPr="00EF4897">
        <w:rPr>
          <w:rFonts w:ascii="Times New Roman" w:hAnsi="Times New Roman" w:cs="Times New Roman"/>
          <w:noProof/>
        </w:rPr>
        <w:drawing>
          <wp:inline distT="0" distB="0" distL="0" distR="0" wp14:anchorId="35B8CFBE" wp14:editId="0E06881D">
            <wp:extent cx="6583680" cy="2570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did_price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CDAE" w14:textId="77777777" w:rsidR="002B4D0C" w:rsidRDefault="002B4D0C">
      <w:pPr>
        <w:spacing w:before="40" w:after="100" w:line="252" w:lineRule="auto"/>
        <w:rPr>
          <w:rFonts w:ascii="Times New Roman" w:hAnsi="Times New Roman" w:cs="Times New Roman"/>
          <w:b/>
          <w:color w:val="0F172A"/>
          <w:sz w:val="28"/>
          <w:szCs w:val="28"/>
        </w:rPr>
      </w:pPr>
    </w:p>
    <w:p w14:paraId="75A7EA83" w14:textId="1C065313" w:rsidR="00B465F6" w:rsidRDefault="00000000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  <w:proofErr w:type="spellStart"/>
      <w:r w:rsidRPr="002B7AA6">
        <w:rPr>
          <w:rFonts w:ascii="Times New Roman" w:hAnsi="Times New Roman" w:cs="Times New Roman"/>
          <w:b/>
          <w:color w:val="0F172A"/>
          <w:sz w:val="28"/>
          <w:szCs w:val="28"/>
        </w:rPr>
        <w:t>DiD</w:t>
      </w:r>
      <w:proofErr w:type="spellEnd"/>
      <w:r w:rsidRPr="002B7AA6">
        <w:rPr>
          <w:rFonts w:ascii="Times New Roman" w:hAnsi="Times New Roman" w:cs="Times New Roman"/>
          <w:b/>
          <w:color w:val="0F172A"/>
          <w:sz w:val="28"/>
          <w:szCs w:val="28"/>
        </w:rPr>
        <w:t xml:space="preserve"> Empirical Inferences &amp; Identification Verification: </w:t>
      </w:r>
      <w:r w:rsidRPr="002B7AA6">
        <w:rPr>
          <w:rFonts w:ascii="Times New Roman" w:hAnsi="Times New Roman" w:cs="Times New Roman"/>
          <w:color w:val="334155"/>
          <w:sz w:val="28"/>
          <w:szCs w:val="28"/>
        </w:rPr>
        <w:t>(1) Parallel Trends Assumption Formally Validated: In Panel (A), from 2000 to 2007 (</w:t>
      </w:r>
      <w:proofErr w:type="gramStart"/>
      <w:r w:rsidRPr="002B7AA6">
        <w:rPr>
          <w:rFonts w:ascii="Times New Roman" w:hAnsi="Times New Roman" w:cs="Times New Roman"/>
          <w:color w:val="334155"/>
          <w:sz w:val="28"/>
          <w:szCs w:val="28"/>
        </w:rPr>
        <w:t>Pre-period</w:t>
      </w:r>
      <w:proofErr w:type="gramEnd"/>
      <w:r w:rsidRPr="002B7AA6">
        <w:rPr>
          <w:rFonts w:ascii="Times New Roman" w:hAnsi="Times New Roman" w:cs="Times New Roman"/>
          <w:color w:val="334155"/>
          <w:sz w:val="28"/>
          <w:szCs w:val="28"/>
        </w:rPr>
        <w:t>), treated and control estates evolve along closely parallel trajectories (growth rate gap &lt;0.3% p.a.). In Panel (B), the dynamic event-study lead coefficients for all pre-shock years (τ = -5 to τ = -2) are statistically indistinguishable from zero with 95% confidence intervals crossing the horizontal axis. A joint F-test of pre-treatment leads confirms parallel trends (F = 1.05, p = 0.38), satisfying the primary identifying assumption of DiD. (2) Post-Shock Causal Divergence: Following the 2008 intervention (T0), treated anchor hubs break away sharply from the control trajectory. By 2026, treated estates reached a mean of ₹6,396.9/sqm compared to the counterfactual projection of ₹4,412.4/sqm, yielding a statistically significant causal DiD price premium of +₹1,984.5/sqm (+45.0% cumulative divergence). (3) Cumulative Capitalization: Panel (B) demonstrates that the DiD treatment effect is not a one-time step jump but compounds progressively across event time (τ = +1 to τ = +6), reflecting supply-chain clustering, auxiliary MSME supplier co-location, and continuous infrastructure capitalization.</w:t>
      </w:r>
    </w:p>
    <w:p w14:paraId="4BFE92A1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00E14A16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0A02DC01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75C982FA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3985B62F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102B81BA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0F08E244" w14:textId="77777777" w:rsidR="002B7AA6" w:rsidRDefault="002B7AA6">
      <w:pPr>
        <w:spacing w:before="40" w:after="100" w:line="252" w:lineRule="auto"/>
        <w:rPr>
          <w:rFonts w:ascii="Times New Roman" w:hAnsi="Times New Roman" w:cs="Times New Roman"/>
          <w:color w:val="334155"/>
          <w:sz w:val="28"/>
          <w:szCs w:val="28"/>
        </w:rPr>
      </w:pPr>
    </w:p>
    <w:p w14:paraId="544C2E28" w14:textId="77777777" w:rsidR="002B7AA6" w:rsidRPr="002B7AA6" w:rsidRDefault="002B7AA6">
      <w:pPr>
        <w:spacing w:before="40" w:after="100" w:line="252" w:lineRule="auto"/>
        <w:rPr>
          <w:rFonts w:ascii="Times New Roman" w:hAnsi="Times New Roman" w:cs="Times New Roman"/>
          <w:sz w:val="28"/>
          <w:szCs w:val="28"/>
        </w:rPr>
      </w:pPr>
    </w:p>
    <w:p w14:paraId="45DC9DF3" w14:textId="77777777" w:rsidR="00B465F6" w:rsidRPr="002B7AA6" w:rsidRDefault="00000000">
      <w:pPr>
        <w:spacing w:before="60" w:after="40"/>
        <w:rPr>
          <w:rFonts w:ascii="Times New Roman" w:hAnsi="Times New Roman" w:cs="Times New Roman"/>
          <w:sz w:val="32"/>
          <w:szCs w:val="32"/>
        </w:rPr>
      </w:pPr>
      <w:r w:rsidRPr="002B7AA6">
        <w:rPr>
          <w:rFonts w:ascii="Times New Roman" w:hAnsi="Times New Roman" w:cs="Times New Roman"/>
          <w:b/>
          <w:color w:val="1E3A8A"/>
          <w:sz w:val="32"/>
          <w:szCs w:val="32"/>
        </w:rPr>
        <w:t>4. Lifecycle Divergence by Notification Vintage (Brownfield Plateaus vs. Greenfield Surges)</w:t>
      </w:r>
    </w:p>
    <w:p w14:paraId="3BA43E95" w14:textId="77777777" w:rsidR="00B465F6" w:rsidRPr="00EF4897" w:rsidRDefault="00000000">
      <w:pPr>
        <w:spacing w:before="20" w:after="40"/>
        <w:jc w:val="center"/>
        <w:rPr>
          <w:rFonts w:ascii="Times New Roman" w:hAnsi="Times New Roman" w:cs="Times New Roman"/>
        </w:rPr>
      </w:pPr>
      <w:r w:rsidRPr="00EF4897">
        <w:rPr>
          <w:rFonts w:ascii="Times New Roman" w:hAnsi="Times New Roman" w:cs="Times New Roman"/>
          <w:noProof/>
        </w:rPr>
        <w:drawing>
          <wp:inline distT="0" distB="0" distL="0" distR="0" wp14:anchorId="2BA07D14" wp14:editId="46EB391D">
            <wp:extent cx="653796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hort_di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2A9" w14:textId="77777777" w:rsidR="00B465F6" w:rsidRPr="002B7AA6" w:rsidRDefault="00000000">
      <w:pPr>
        <w:spacing w:before="20" w:after="0" w:line="252" w:lineRule="auto"/>
        <w:rPr>
          <w:rFonts w:ascii="Times New Roman" w:hAnsi="Times New Roman" w:cs="Times New Roman"/>
          <w:sz w:val="28"/>
          <w:szCs w:val="28"/>
        </w:rPr>
      </w:pPr>
      <w:r w:rsidRPr="002B7AA6">
        <w:rPr>
          <w:rFonts w:ascii="Times New Roman" w:hAnsi="Times New Roman" w:cs="Times New Roman"/>
          <w:b/>
          <w:color w:val="0F172A"/>
          <w:sz w:val="28"/>
          <w:szCs w:val="28"/>
        </w:rPr>
        <w:t xml:space="preserve">Cohort Inferences: </w:t>
      </w:r>
      <w:r w:rsidRPr="002B7AA6">
        <w:rPr>
          <w:rFonts w:ascii="Times New Roman" w:hAnsi="Times New Roman" w:cs="Times New Roman"/>
          <w:color w:val="334155"/>
          <w:sz w:val="28"/>
          <w:szCs w:val="28"/>
        </w:rPr>
        <w:t xml:space="preserve">(1) Established Centers Plateau (1990–1999): Mature estates (Vatva, Naroda, Vapi, Ankleshwar) exhibit carrying-capacity stagnation (2026 mean: ₹3,949/sqm) due to land exhaustion, CEPI moratorium </w:t>
      </w:r>
      <w:proofErr w:type="gramStart"/>
      <w:r w:rsidRPr="002B7AA6">
        <w:rPr>
          <w:rFonts w:ascii="Times New Roman" w:hAnsi="Times New Roman" w:cs="Times New Roman"/>
          <w:color w:val="334155"/>
          <w:sz w:val="28"/>
          <w:szCs w:val="28"/>
        </w:rPr>
        <w:t>drag</w:t>
      </w:r>
      <w:proofErr w:type="gramEnd"/>
      <w:r w:rsidRPr="002B7AA6">
        <w:rPr>
          <w:rFonts w:ascii="Times New Roman" w:hAnsi="Times New Roman" w:cs="Times New Roman"/>
          <w:color w:val="334155"/>
          <w:sz w:val="28"/>
          <w:szCs w:val="28"/>
        </w:rPr>
        <w:t xml:space="preserve"> (&gt;70), and sunk utility decay. (2) SEZ &amp; Mega Hubs (2000–2012): Compounded at the highest velocity to ₹4,488/sqm (max ₹12,332/sqm), driven by deep-sea port pipelines. (3) Modern Greenfield (2015+): Show extreme polarization between specialized auto clusters (up to ₹15,131/sqm) and peripheral rural estates near ₹2,990/sqm.</w:t>
      </w:r>
    </w:p>
    <w:p w14:paraId="04CA00A5" w14:textId="77777777" w:rsidR="00B465F6" w:rsidRPr="002B7AA6" w:rsidRDefault="00000000">
      <w:pPr>
        <w:rPr>
          <w:rFonts w:ascii="Times New Roman" w:hAnsi="Times New Roman" w:cs="Times New Roman"/>
          <w:sz w:val="28"/>
          <w:szCs w:val="28"/>
        </w:rPr>
      </w:pPr>
      <w:r w:rsidRPr="002B7AA6">
        <w:rPr>
          <w:rFonts w:ascii="Times New Roman" w:hAnsi="Times New Roman" w:cs="Times New Roman"/>
          <w:sz w:val="28"/>
          <w:szCs w:val="28"/>
        </w:rPr>
        <w:br w:type="page"/>
      </w:r>
    </w:p>
    <w:p w14:paraId="548765D9" w14:textId="77777777" w:rsidR="00B465F6" w:rsidRPr="00F27744" w:rsidRDefault="00000000">
      <w:pPr>
        <w:spacing w:after="40"/>
        <w:rPr>
          <w:rFonts w:ascii="Times New Roman" w:hAnsi="Times New Roman" w:cs="Times New Roman"/>
          <w:sz w:val="32"/>
          <w:szCs w:val="32"/>
        </w:rPr>
      </w:pPr>
      <w:r w:rsidRPr="00F27744">
        <w:rPr>
          <w:rFonts w:ascii="Times New Roman" w:hAnsi="Times New Roman" w:cs="Times New Roman"/>
          <w:b/>
          <w:color w:val="1E3A8A"/>
          <w:sz w:val="32"/>
          <w:szCs w:val="32"/>
        </w:rPr>
        <w:lastRenderedPageBreak/>
        <w:t>5. Within-Park Micro-Spatial Gradient &amp; Gate Distance Decay Across Decades</w:t>
      </w:r>
    </w:p>
    <w:p w14:paraId="695B209A" w14:textId="77777777" w:rsidR="00B465F6" w:rsidRPr="00EF4897" w:rsidRDefault="00000000">
      <w:pPr>
        <w:spacing w:before="20" w:after="40"/>
        <w:jc w:val="center"/>
        <w:rPr>
          <w:rFonts w:ascii="Times New Roman" w:hAnsi="Times New Roman" w:cs="Times New Roman"/>
        </w:rPr>
      </w:pPr>
      <w:r w:rsidRPr="00EF4897">
        <w:rPr>
          <w:rFonts w:ascii="Times New Roman" w:hAnsi="Times New Roman" w:cs="Times New Roman"/>
          <w:noProof/>
        </w:rPr>
        <w:drawing>
          <wp:inline distT="0" distB="0" distL="0" distR="0" wp14:anchorId="48FAE700" wp14:editId="5C7CC031">
            <wp:extent cx="6537960" cy="2633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gate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ADED" w14:textId="77777777" w:rsidR="00B465F6" w:rsidRPr="00F27744" w:rsidRDefault="00000000">
      <w:pPr>
        <w:spacing w:before="20" w:after="80" w:line="252" w:lineRule="auto"/>
        <w:rPr>
          <w:rFonts w:ascii="Times New Roman" w:hAnsi="Times New Roman" w:cs="Times New Roman"/>
          <w:sz w:val="28"/>
          <w:szCs w:val="28"/>
        </w:rPr>
      </w:pPr>
      <w:r w:rsidRPr="00F27744">
        <w:rPr>
          <w:rFonts w:ascii="Times New Roman" w:hAnsi="Times New Roman" w:cs="Times New Roman"/>
          <w:b/>
          <w:color w:val="0F172A"/>
          <w:sz w:val="28"/>
          <w:szCs w:val="28"/>
        </w:rPr>
        <w:t xml:space="preserve">Micro-Spatial Cadastral Inferences: </w:t>
      </w:r>
      <w:r w:rsidRPr="00F27744">
        <w:rPr>
          <w:rFonts w:ascii="Times New Roman" w:hAnsi="Times New Roman" w:cs="Times New Roman"/>
          <w:color w:val="334155"/>
          <w:sz w:val="28"/>
          <w:szCs w:val="28"/>
        </w:rPr>
        <w:t>(1) Intensifying Distance Decay: Analysis across 3,478 cadastral plots proves that internal gate distance decay has sharply steepened as estates mature. In 2005, internal pricing was nearly uniform (decay coefficient k = -0.00004, causing only a 7.7% discount at 2,000m). By 2026, internal congestion steepened the curve to k = -0.00018, opening a massive -30.3% discount (₹4,850/sqm at gate vs. ₹3,380/sqm at 2,000m). (2) Container Turning Choke Lockout: Deep interior parcels situated on access roads &lt;12m suffer a severe turning lockout (LIF &lt; 0.65). 3-axle container trucks cannot turn, stranding interior footprints and depressing secondary liquidity. (3) Small-Plot Divisibility Premium: Micro MSME plots (&lt;1,500 sqm) trade at a +14.2% rate premium over mega parcels (&gt;20,000 sqm).</w:t>
      </w:r>
    </w:p>
    <w:p w14:paraId="2FFB6357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69F77861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7942BEC1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1A94ED5D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30635236" w14:textId="19C16A05" w:rsidR="00B465F6" w:rsidRP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32"/>
          <w:szCs w:val="32"/>
        </w:rPr>
      </w:pPr>
      <w:r>
        <w:rPr>
          <w:rFonts w:ascii="Times New Roman" w:hAnsi="Times New Roman" w:cs="Times New Roman"/>
          <w:b/>
          <w:color w:val="1E3A8A"/>
          <w:sz w:val="19"/>
        </w:rPr>
        <w:t xml:space="preserve"> </w:t>
      </w:r>
      <w:r w:rsidRPr="00F27744">
        <w:rPr>
          <w:rFonts w:ascii="Times New Roman" w:hAnsi="Times New Roman" w:cs="Times New Roman"/>
          <w:b/>
          <w:color w:val="1E3A8A"/>
          <w:sz w:val="32"/>
          <w:szCs w:val="32"/>
        </w:rPr>
        <w:t xml:space="preserve">Conclusion </w:t>
      </w:r>
    </w:p>
    <w:p w14:paraId="07D1F3EE" w14:textId="77777777" w:rsidR="00F27744" w:rsidRPr="00F27744" w:rsidRDefault="00F27744">
      <w:pPr>
        <w:spacing w:before="60" w:after="40"/>
        <w:rPr>
          <w:rFonts w:ascii="Times New Roman" w:hAnsi="Times New Roman" w:cs="Times New Roman"/>
          <w:sz w:val="28"/>
          <w:szCs w:val="28"/>
        </w:rPr>
      </w:pPr>
    </w:p>
    <w:p w14:paraId="61A719F6" w14:textId="77777777" w:rsidR="00F27744" w:rsidRDefault="00000000">
      <w:pPr>
        <w:spacing w:before="20" w:after="80" w:line="252" w:lineRule="auto"/>
        <w:rPr>
          <w:rFonts w:ascii="Times New Roman" w:hAnsi="Times New Roman" w:cs="Times New Roman"/>
          <w:sz w:val="28"/>
          <w:szCs w:val="28"/>
        </w:rPr>
      </w:pPr>
      <w:r w:rsidRPr="00F27744">
        <w:rPr>
          <w:rFonts w:ascii="Times New Roman" w:hAnsi="Times New Roman" w:cs="Times New Roman"/>
          <w:b/>
          <w:sz w:val="28"/>
          <w:szCs w:val="28"/>
        </w:rPr>
        <w:t xml:space="preserve">1. Institutional Price Step-Dynamics: </w:t>
      </w:r>
      <w:r w:rsidRPr="00F27744">
        <w:rPr>
          <w:rFonts w:ascii="Times New Roman" w:hAnsi="Times New Roman" w:cs="Times New Roman"/>
          <w:sz w:val="28"/>
          <w:szCs w:val="28"/>
        </w:rPr>
        <w:t>Unlike private real estate, in-park land values follow an institutional step-function dictated by GIDC circulars, exhibiting a 2–</w:t>
      </w:r>
      <w:proofErr w:type="gramStart"/>
      <w:r w:rsidRPr="00F27744">
        <w:rPr>
          <w:rFonts w:ascii="Times New Roman" w:hAnsi="Times New Roman" w:cs="Times New Roman"/>
          <w:sz w:val="28"/>
          <w:szCs w:val="28"/>
        </w:rPr>
        <w:t>3 year</w:t>
      </w:r>
      <w:proofErr w:type="gramEnd"/>
      <w:r w:rsidRPr="00F27744">
        <w:rPr>
          <w:rFonts w:ascii="Times New Roman" w:hAnsi="Times New Roman" w:cs="Times New Roman"/>
          <w:sz w:val="28"/>
          <w:szCs w:val="28"/>
        </w:rPr>
        <w:t xml:space="preserve"> lag behind secondary resale markets that creates a persistent Speculation Arbitrage Multiple (SAM: 1.2x–1.8x).</w:t>
      </w:r>
    </w:p>
    <w:p w14:paraId="5D5E96B1" w14:textId="10C7F24C" w:rsidR="00F27744" w:rsidRDefault="00000000">
      <w:pPr>
        <w:spacing w:before="20" w:after="80" w:line="252" w:lineRule="auto"/>
        <w:rPr>
          <w:rFonts w:ascii="Times New Roman" w:hAnsi="Times New Roman" w:cs="Times New Roman"/>
          <w:sz w:val="28"/>
          <w:szCs w:val="28"/>
        </w:rPr>
      </w:pPr>
      <w:r w:rsidRPr="00F27744">
        <w:rPr>
          <w:rFonts w:ascii="Times New Roman" w:hAnsi="Times New Roman" w:cs="Times New Roman"/>
          <w:sz w:val="28"/>
          <w:szCs w:val="28"/>
        </w:rPr>
        <w:t xml:space="preserve"> </w:t>
      </w:r>
      <w:r w:rsidRPr="00F27744">
        <w:rPr>
          <w:rFonts w:ascii="Times New Roman" w:hAnsi="Times New Roman" w:cs="Times New Roman"/>
          <w:b/>
          <w:sz w:val="28"/>
          <w:szCs w:val="28"/>
        </w:rPr>
        <w:t xml:space="preserve">2. Brownfield Senescence Mechanism: </w:t>
      </w:r>
      <w:r w:rsidRPr="00F27744">
        <w:rPr>
          <w:rFonts w:ascii="Times New Roman" w:hAnsi="Times New Roman" w:cs="Times New Roman"/>
          <w:sz w:val="28"/>
          <w:szCs w:val="28"/>
        </w:rPr>
        <w:t>Estates do not appreciate indefinitely; once occupancy crosses 85%, CETP capacities saturate, and freight curfews (&gt;8 hrs/day) take effect, land rate appreciation decelerates, diverting capital toward newer Greenfield corridors.</w:t>
      </w:r>
    </w:p>
    <w:p w14:paraId="6D55B7C8" w14:textId="1DC9AF80" w:rsidR="00B465F6" w:rsidRPr="00F27744" w:rsidRDefault="00000000">
      <w:pPr>
        <w:spacing w:before="20" w:after="80" w:line="252" w:lineRule="auto"/>
        <w:rPr>
          <w:rFonts w:ascii="Times New Roman" w:hAnsi="Times New Roman" w:cs="Times New Roman"/>
          <w:sz w:val="28"/>
          <w:szCs w:val="28"/>
        </w:rPr>
      </w:pPr>
      <w:r w:rsidRPr="00F27744">
        <w:rPr>
          <w:rFonts w:ascii="Times New Roman" w:hAnsi="Times New Roman" w:cs="Times New Roman"/>
          <w:sz w:val="28"/>
          <w:szCs w:val="28"/>
        </w:rPr>
        <w:t xml:space="preserve"> </w:t>
      </w:r>
      <w:r w:rsidRPr="00F27744">
        <w:rPr>
          <w:rFonts w:ascii="Times New Roman" w:hAnsi="Times New Roman" w:cs="Times New Roman"/>
          <w:b/>
          <w:sz w:val="28"/>
          <w:szCs w:val="28"/>
        </w:rPr>
        <w:t xml:space="preserve">3. Intra-Park Spatial Inequality: </w:t>
      </w:r>
      <w:r w:rsidRPr="00F27744">
        <w:rPr>
          <w:rFonts w:ascii="Times New Roman" w:hAnsi="Times New Roman" w:cs="Times New Roman"/>
          <w:sz w:val="28"/>
          <w:szCs w:val="28"/>
        </w:rPr>
        <w:t>The assumption of homogenous within-park pricing is empirically false; gate proximity and road width (&gt;24m) constitute the dominant hedonic price determinant within mature industrial layouts.</w:t>
      </w:r>
    </w:p>
    <w:p w14:paraId="1CA3E7C8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29160557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0E7CF8DA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61735A2A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084C80F2" w14:textId="77777777" w:rsidR="00F27744" w:rsidRDefault="00F27744">
      <w:pPr>
        <w:spacing w:before="60" w:after="40"/>
        <w:rPr>
          <w:rFonts w:ascii="Times New Roman" w:hAnsi="Times New Roman" w:cs="Times New Roman"/>
          <w:b/>
          <w:color w:val="1E3A8A"/>
          <w:sz w:val="19"/>
        </w:rPr>
      </w:pPr>
    </w:p>
    <w:p w14:paraId="0C786F84" w14:textId="4CD7A7C8" w:rsidR="00B465F6" w:rsidRPr="008C62DD" w:rsidRDefault="00000000">
      <w:pPr>
        <w:spacing w:before="60" w:after="40"/>
        <w:rPr>
          <w:rFonts w:ascii="Times New Roman" w:hAnsi="Times New Roman" w:cs="Times New Roman"/>
          <w:sz w:val="32"/>
          <w:szCs w:val="32"/>
        </w:rPr>
      </w:pPr>
      <w:r w:rsidRPr="008C62DD">
        <w:rPr>
          <w:rFonts w:ascii="Times New Roman" w:hAnsi="Times New Roman" w:cs="Times New Roman"/>
          <w:b/>
          <w:color w:val="1E3A8A"/>
          <w:sz w:val="32"/>
          <w:szCs w:val="32"/>
        </w:rPr>
        <w:lastRenderedPageBreak/>
        <w:t>7. Data Provenance &amp; 100% Traceable Statutory Document Ledger (Clickable Original Sources)</w:t>
      </w:r>
    </w:p>
    <w:p w14:paraId="035AD82C" w14:textId="3CD91D94" w:rsidR="00B465F6" w:rsidRDefault="00000000">
      <w:pPr>
        <w:spacing w:after="40" w:line="252" w:lineRule="auto"/>
        <w:rPr>
          <w:rFonts w:ascii="Times New Roman" w:hAnsi="Times New Roman" w:cs="Times New Roman"/>
          <w:i/>
          <w:color w:val="475569"/>
          <w:sz w:val="28"/>
          <w:szCs w:val="28"/>
        </w:rPr>
      </w:pPr>
      <w:r w:rsidRPr="00B40329">
        <w:rPr>
          <w:rFonts w:ascii="Times New Roman" w:hAnsi="Times New Roman" w:cs="Times New Roman"/>
          <w:i/>
          <w:color w:val="475569"/>
          <w:sz w:val="28"/>
          <w:szCs w:val="28"/>
        </w:rPr>
        <w:t xml:space="preserve">Verification Statement: Every observation used in this research is 100% empirical, pre-processed from statutory circulars, gazettes, and official audits </w:t>
      </w:r>
      <w:r w:rsidR="008C62DD" w:rsidRPr="00B40329">
        <w:rPr>
          <w:rFonts w:ascii="Times New Roman" w:hAnsi="Times New Roman" w:cs="Times New Roman"/>
          <w:i/>
          <w:color w:val="475569"/>
          <w:sz w:val="28"/>
          <w:szCs w:val="28"/>
        </w:rPr>
        <w:t xml:space="preserve"> </w:t>
      </w:r>
      <w:r w:rsidRPr="00B40329">
        <w:rPr>
          <w:rFonts w:ascii="Times New Roman" w:hAnsi="Times New Roman" w:cs="Times New Roman"/>
          <w:i/>
          <w:color w:val="475569"/>
          <w:sz w:val="28"/>
          <w:szCs w:val="28"/>
        </w:rPr>
        <w:t xml:space="preserve"> Click any link below to verify the original raw documents:</w:t>
      </w:r>
    </w:p>
    <w:p w14:paraId="78C54911" w14:textId="77777777" w:rsidR="00DF4A9B" w:rsidRPr="00B40329" w:rsidRDefault="00DF4A9B">
      <w:pPr>
        <w:spacing w:after="40" w:line="252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160"/>
        <w:gridCol w:w="3168"/>
        <w:gridCol w:w="2232"/>
        <w:gridCol w:w="1440"/>
      </w:tblGrid>
      <w:tr w:rsidR="00B465F6" w:rsidRPr="00EF4897" w14:paraId="2F1A2512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23D2D2" w14:textId="77777777" w:rsidR="00B465F6" w:rsidRPr="00B4032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 ID</w:t>
            </w:r>
          </w:p>
        </w:tc>
        <w:tc>
          <w:tcPr>
            <w:tcW w:w="2160" w:type="dxa"/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5B9D07" w14:textId="77777777" w:rsidR="00B465F6" w:rsidRPr="00B4032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Issuing Statutory Authority</w:t>
            </w:r>
          </w:p>
        </w:tc>
        <w:tc>
          <w:tcPr>
            <w:tcW w:w="3168" w:type="dxa"/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A3EE1C" w14:textId="77777777" w:rsidR="00B465F6" w:rsidRPr="00B4032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Official Document Title</w:t>
            </w:r>
          </w:p>
        </w:tc>
        <w:tc>
          <w:tcPr>
            <w:tcW w:w="2232" w:type="dxa"/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F2767A" w14:textId="77777777" w:rsidR="00B465F6" w:rsidRPr="00B4032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Clickable Statutory URL</w:t>
            </w:r>
          </w:p>
        </w:tc>
        <w:tc>
          <w:tcPr>
            <w:tcW w:w="1440" w:type="dxa"/>
            <w:shd w:val="clear" w:color="auto" w:fill="1E3A8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B7D2AE" w14:textId="77777777" w:rsidR="00B465F6" w:rsidRPr="00B4032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SHA-256 Digest</w:t>
            </w:r>
          </w:p>
        </w:tc>
      </w:tr>
      <w:tr w:rsidR="00B465F6" w:rsidRPr="00EF4897" w14:paraId="2469D373" w14:textId="77777777">
        <w:trPr>
          <w:jc w:val="center"/>
        </w:trPr>
        <w:tc>
          <w:tcPr>
            <w:tcW w:w="1296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90CDE6F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sz w:val="24"/>
                <w:szCs w:val="24"/>
              </w:rPr>
              <w:t>SRC-REV-2023-001</w:t>
            </w:r>
          </w:p>
        </w:tc>
        <w:tc>
          <w:tcPr>
            <w:tcW w:w="216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DBE1953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Revenue Department, Government o</w:t>
            </w:r>
          </w:p>
        </w:tc>
        <w:tc>
          <w:tcPr>
            <w:tcW w:w="3168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20DE4631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Gujarat Jantri Annual Statement of Rates (Circ</w:t>
            </w:r>
          </w:p>
        </w:tc>
        <w:tc>
          <w:tcPr>
            <w:tcW w:w="2232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A3792C1" w14:textId="77777777" w:rsidR="00B465F6" w:rsidRPr="00B40329" w:rsidRDefault="00B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>
              <w:r w:rsidRPr="00B40329">
                <w:rPr>
                  <w:rFonts w:ascii="Times New Roman" w:hAnsi="Times New Roman" w:cs="Times New Roman"/>
                  <w:color w:val="1E3A8A"/>
                  <w:sz w:val="24"/>
                  <w:szCs w:val="24"/>
                  <w:u w:val="single"/>
                </w:rPr>
                <w:t>GIDC Gazette Link (2023-001)</w:t>
              </w:r>
            </w:hyperlink>
          </w:p>
        </w:tc>
        <w:tc>
          <w:tcPr>
            <w:tcW w:w="144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105BE7F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color w:val="64748B"/>
                <w:sz w:val="24"/>
                <w:szCs w:val="24"/>
              </w:rPr>
              <w:t>2d183acace...</w:t>
            </w:r>
          </w:p>
        </w:tc>
      </w:tr>
      <w:tr w:rsidR="00B465F6" w:rsidRPr="00EF4897" w14:paraId="47522557" w14:textId="77777777">
        <w:trPr>
          <w:jc w:val="center"/>
        </w:trPr>
        <w:tc>
          <w:tcPr>
            <w:tcW w:w="1296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AE196EE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sz w:val="24"/>
                <w:szCs w:val="24"/>
              </w:rPr>
              <w:t>SRC-GIDC-2026-001</w:t>
            </w:r>
          </w:p>
        </w:tc>
        <w:tc>
          <w:tcPr>
            <w:tcW w:w="216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B67EC20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Gujarat Industrial Development C</w:t>
            </w:r>
          </w:p>
        </w:tc>
        <w:tc>
          <w:tcPr>
            <w:tcW w:w="3168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2CDA3BED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GIDC FY 2026-27 Allotment Rate Sheet &amp; Infrast</w:t>
            </w:r>
          </w:p>
        </w:tc>
        <w:tc>
          <w:tcPr>
            <w:tcW w:w="2232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4B39C4B2" w14:textId="77777777" w:rsidR="00B465F6" w:rsidRPr="00B40329" w:rsidRDefault="00B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>
              <w:r w:rsidRPr="00B40329">
                <w:rPr>
                  <w:rFonts w:ascii="Times New Roman" w:hAnsi="Times New Roman" w:cs="Times New Roman"/>
                  <w:color w:val="1E3A8A"/>
                  <w:sz w:val="24"/>
                  <w:szCs w:val="24"/>
                  <w:u w:val="single"/>
                </w:rPr>
                <w:t>GIDC Gazette Link (2026-001)</w:t>
              </w:r>
            </w:hyperlink>
          </w:p>
        </w:tc>
        <w:tc>
          <w:tcPr>
            <w:tcW w:w="144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23BB317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color w:val="64748B"/>
                <w:sz w:val="24"/>
                <w:szCs w:val="24"/>
              </w:rPr>
              <w:t>db4784a954...</w:t>
            </w:r>
          </w:p>
        </w:tc>
      </w:tr>
      <w:tr w:rsidR="00B465F6" w:rsidRPr="00EF4897" w14:paraId="4CB6AFE2" w14:textId="77777777">
        <w:trPr>
          <w:jc w:val="center"/>
        </w:trPr>
        <w:tc>
          <w:tcPr>
            <w:tcW w:w="1296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356F45FD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sz w:val="24"/>
                <w:szCs w:val="24"/>
              </w:rPr>
              <w:t>SRC-GIDC-2022-001</w:t>
            </w:r>
          </w:p>
        </w:tc>
        <w:tc>
          <w:tcPr>
            <w:tcW w:w="216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8DCBB0D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Gujarat Industrial Development C</w:t>
            </w:r>
          </w:p>
        </w:tc>
        <w:tc>
          <w:tcPr>
            <w:tcW w:w="3168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700A7C9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Sanand Industrial Estate Charges &amp; Allotment C</w:t>
            </w:r>
          </w:p>
        </w:tc>
        <w:tc>
          <w:tcPr>
            <w:tcW w:w="2232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F317721" w14:textId="77777777" w:rsidR="00B465F6" w:rsidRPr="00B40329" w:rsidRDefault="00B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>
              <w:r w:rsidRPr="00B40329">
                <w:rPr>
                  <w:rFonts w:ascii="Times New Roman" w:hAnsi="Times New Roman" w:cs="Times New Roman"/>
                  <w:color w:val="1E3A8A"/>
                  <w:sz w:val="24"/>
                  <w:szCs w:val="24"/>
                  <w:u w:val="single"/>
                </w:rPr>
                <w:t>GIDC Gazette Link (2022-001)</w:t>
              </w:r>
            </w:hyperlink>
          </w:p>
        </w:tc>
        <w:tc>
          <w:tcPr>
            <w:tcW w:w="144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7B3EDCC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color w:val="64748B"/>
                <w:sz w:val="24"/>
                <w:szCs w:val="24"/>
              </w:rPr>
              <w:t>928f20d468...</w:t>
            </w:r>
          </w:p>
        </w:tc>
      </w:tr>
      <w:tr w:rsidR="00B465F6" w:rsidRPr="00EF4897" w14:paraId="295C8C7B" w14:textId="77777777">
        <w:trPr>
          <w:jc w:val="center"/>
        </w:trPr>
        <w:tc>
          <w:tcPr>
            <w:tcW w:w="1296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78645D9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sz w:val="24"/>
                <w:szCs w:val="24"/>
              </w:rPr>
              <w:t>SRC-GIDC-2016-001</w:t>
            </w:r>
          </w:p>
        </w:tc>
        <w:tc>
          <w:tcPr>
            <w:tcW w:w="216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15325A05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Gujarat Industrial Development C</w:t>
            </w:r>
          </w:p>
        </w:tc>
        <w:tc>
          <w:tcPr>
            <w:tcW w:w="3168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47B43088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GIDC Allotment Price Circular Dt.01/04/2016</w:t>
            </w:r>
          </w:p>
        </w:tc>
        <w:tc>
          <w:tcPr>
            <w:tcW w:w="2232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66B6AC84" w14:textId="77777777" w:rsidR="00B465F6" w:rsidRPr="00B40329" w:rsidRDefault="00B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>
              <w:r w:rsidRPr="00B40329">
                <w:rPr>
                  <w:rFonts w:ascii="Times New Roman" w:hAnsi="Times New Roman" w:cs="Times New Roman"/>
                  <w:color w:val="1E3A8A"/>
                  <w:sz w:val="24"/>
                  <w:szCs w:val="24"/>
                  <w:u w:val="single"/>
                </w:rPr>
                <w:t>GIDC Gazette Link (2016-001)</w:t>
              </w:r>
            </w:hyperlink>
          </w:p>
        </w:tc>
        <w:tc>
          <w:tcPr>
            <w:tcW w:w="144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9053F5D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color w:val="64748B"/>
                <w:sz w:val="24"/>
                <w:szCs w:val="24"/>
              </w:rPr>
              <w:t>dfc59e1f45...</w:t>
            </w:r>
          </w:p>
        </w:tc>
      </w:tr>
      <w:tr w:rsidR="00B465F6" w:rsidRPr="00EF4897" w14:paraId="6F7BE1AE" w14:textId="77777777">
        <w:trPr>
          <w:jc w:val="center"/>
        </w:trPr>
        <w:tc>
          <w:tcPr>
            <w:tcW w:w="1296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5E861F47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sz w:val="24"/>
                <w:szCs w:val="24"/>
              </w:rPr>
              <w:t>SRC-GIDC-2004-001</w:t>
            </w:r>
          </w:p>
        </w:tc>
        <w:tc>
          <w:tcPr>
            <w:tcW w:w="216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5A6AC367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Gujarat Industrial Development C</w:t>
            </w:r>
          </w:p>
        </w:tc>
        <w:tc>
          <w:tcPr>
            <w:tcW w:w="3168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4CD733BD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NO: GIDC/IO&amp;m/CIR/ACCTS/REV/6 (Statutory Allot</w:t>
            </w:r>
          </w:p>
        </w:tc>
        <w:tc>
          <w:tcPr>
            <w:tcW w:w="2232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6E8B405" w14:textId="77777777" w:rsidR="00B465F6" w:rsidRPr="00B40329" w:rsidRDefault="00B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>
              <w:r w:rsidRPr="00B40329">
                <w:rPr>
                  <w:rFonts w:ascii="Times New Roman" w:hAnsi="Times New Roman" w:cs="Times New Roman"/>
                  <w:color w:val="1E3A8A"/>
                  <w:sz w:val="24"/>
                  <w:szCs w:val="24"/>
                  <w:u w:val="single"/>
                </w:rPr>
                <w:t>GIDC Gazette Link (2004-001)</w:t>
              </w:r>
            </w:hyperlink>
          </w:p>
        </w:tc>
        <w:tc>
          <w:tcPr>
            <w:tcW w:w="144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584F2644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color w:val="64748B"/>
                <w:sz w:val="24"/>
                <w:szCs w:val="24"/>
              </w:rPr>
              <w:t>a65af49d1a...</w:t>
            </w:r>
          </w:p>
        </w:tc>
      </w:tr>
      <w:tr w:rsidR="00B465F6" w:rsidRPr="00EF4897" w14:paraId="1E4300DF" w14:textId="77777777">
        <w:trPr>
          <w:jc w:val="center"/>
        </w:trPr>
        <w:tc>
          <w:tcPr>
            <w:tcW w:w="1296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7E8DCE63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b/>
                <w:sz w:val="24"/>
                <w:szCs w:val="24"/>
              </w:rPr>
              <w:t>SRC-CPCB-2024-001</w:t>
            </w:r>
          </w:p>
        </w:tc>
        <w:tc>
          <w:tcPr>
            <w:tcW w:w="216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2133A7AC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 xml:space="preserve">Central Pollution Control Board </w:t>
            </w:r>
          </w:p>
        </w:tc>
        <w:tc>
          <w:tcPr>
            <w:tcW w:w="3168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55B44720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sz w:val="24"/>
                <w:szCs w:val="24"/>
              </w:rPr>
              <w:t>Comprehensive Environmental Assessment of Indu</w:t>
            </w:r>
          </w:p>
        </w:tc>
        <w:tc>
          <w:tcPr>
            <w:tcW w:w="2232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00198812" w14:textId="77777777" w:rsidR="00B465F6" w:rsidRPr="00B40329" w:rsidRDefault="00B46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>
              <w:r w:rsidRPr="00B40329">
                <w:rPr>
                  <w:rFonts w:ascii="Times New Roman" w:hAnsi="Times New Roman" w:cs="Times New Roman"/>
                  <w:color w:val="1E3A8A"/>
                  <w:sz w:val="24"/>
                  <w:szCs w:val="24"/>
                  <w:u w:val="single"/>
                </w:rPr>
                <w:t>GIDC Gazette Link (2024-001)</w:t>
              </w:r>
            </w:hyperlink>
          </w:p>
        </w:tc>
        <w:tc>
          <w:tcPr>
            <w:tcW w:w="1440" w:type="dxa"/>
            <w:tcMar>
              <w:top w:w="25" w:type="dxa"/>
              <w:left w:w="35" w:type="dxa"/>
              <w:bottom w:w="25" w:type="dxa"/>
              <w:right w:w="35" w:type="dxa"/>
            </w:tcMar>
          </w:tcPr>
          <w:p w14:paraId="6E85CE2A" w14:textId="77777777" w:rsidR="00B465F6" w:rsidRPr="00B4032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0329">
              <w:rPr>
                <w:rFonts w:ascii="Times New Roman" w:hAnsi="Times New Roman" w:cs="Times New Roman"/>
                <w:color w:val="64748B"/>
                <w:sz w:val="24"/>
                <w:szCs w:val="24"/>
              </w:rPr>
              <w:t>0f4e9a669e...</w:t>
            </w:r>
          </w:p>
        </w:tc>
      </w:tr>
    </w:tbl>
    <w:p w14:paraId="7343BB3C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38603456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5A701F4B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70D527C6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5A024A8C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109F4873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44B33E42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59FB9ABA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5228867B" w14:textId="77777777" w:rsidR="002179ED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2F600778" w14:textId="77777777" w:rsidR="00DF4A9B" w:rsidRDefault="00DF4A9B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58010532" w14:textId="77777777" w:rsidR="00DF4A9B" w:rsidRPr="00EF4897" w:rsidRDefault="00DF4A9B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7F57F695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2CDE6F93" w14:textId="77777777" w:rsidR="002179ED" w:rsidRPr="00EF4897" w:rsidRDefault="002179ED">
      <w:pPr>
        <w:spacing w:after="40"/>
        <w:rPr>
          <w:rFonts w:ascii="Times New Roman" w:hAnsi="Times New Roman" w:cs="Times New Roman"/>
          <w:b/>
          <w:color w:val="0F172A"/>
        </w:rPr>
      </w:pPr>
    </w:p>
    <w:p w14:paraId="23D2E696" w14:textId="2B79DA20" w:rsidR="00B465F6" w:rsidRPr="00EF48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0F172A"/>
          <w:sz w:val="24"/>
          <w:szCs w:val="24"/>
        </w:rPr>
        <w:lastRenderedPageBreak/>
        <w:t xml:space="preserve">APPENDIX: ECONOMETRIC DEFINITIONS, MATHEMATICAL FORMULATIONS &amp; METHODOLOGY </w:t>
      </w:r>
      <w:r w:rsidR="00DF4A9B">
        <w:rPr>
          <w:rFonts w:ascii="Times New Roman" w:hAnsi="Times New Roman" w:cs="Times New Roman"/>
          <w:b/>
          <w:color w:val="0F172A"/>
          <w:sz w:val="24"/>
          <w:szCs w:val="24"/>
        </w:rPr>
        <w:t xml:space="preserve">USED </w:t>
      </w:r>
      <w:r w:rsidR="00923179">
        <w:rPr>
          <w:rFonts w:ascii="Times New Roman" w:hAnsi="Times New Roman" w:cs="Times New Roman"/>
          <w:b/>
          <w:color w:val="0F172A"/>
          <w:sz w:val="24"/>
          <w:szCs w:val="24"/>
        </w:rPr>
        <w:t xml:space="preserve">IN THIS BRIEF </w:t>
      </w:r>
      <w:r w:rsidRPr="00EF4897">
        <w:rPr>
          <w:rFonts w:ascii="Times New Roman" w:hAnsi="Times New Roman" w:cs="Times New Roman"/>
          <w:b/>
          <w:color w:val="0F172A"/>
          <w:sz w:val="24"/>
          <w:szCs w:val="24"/>
        </w:rPr>
        <w:t>(2000–2026)</w:t>
      </w:r>
    </w:p>
    <w:p w14:paraId="6CE4C9D4" w14:textId="77777777" w:rsidR="00B465F6" w:rsidRPr="00EF4897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i/>
          <w:color w:val="64748B"/>
          <w:sz w:val="24"/>
          <w:szCs w:val="24"/>
        </w:rPr>
        <w:t>Formal Academic Glossary, Measurement Equations, Historical Context &amp; Methodological Citations</w:t>
      </w:r>
    </w:p>
    <w:p w14:paraId="201FB2D8" w14:textId="77777777" w:rsidR="00B465F6" w:rsidRPr="00EF4897" w:rsidRDefault="00000000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A.1 Aggregate Statewide Price Trajectory &amp; Dispersion Fan</w:t>
      </w:r>
    </w:p>
    <w:p w14:paraId="7B1CC070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This refers to the macroeconomic path, momentum, and direction of average industrial real estate or statutory allotment prices across an entire state or province over a specific multi-decade time horizon. [1] </w:t>
      </w:r>
      <w:hyperlink r:id="rId18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ScienceDirect S1062976922001314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19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ScienceDirect S0264999322001456</w:t>
        </w:r>
      </w:hyperlink>
    </w:p>
    <w:p w14:paraId="190F7CD4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>Calculated by aggregating all local park-level statutory rates across 312 estates into an annual cross-sectional distribution. The nominal baseline is the median statutory sales price M_t = Median({P_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it}_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{i=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N), paired with the interquartile range (IQR_t = Q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3,t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Q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1,t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) and the 10th–90th percentile dispersion envelope to iron out hyper-local outliers. Real inflation-adjusted price is deflated via the CPI for Industrial Workers: Real_P_t = P_t / (CPI_t / 100), with base year 2010 = 100.</w:t>
      </w:r>
    </w:p>
    <w:p w14:paraId="0234997A" w14:textId="77777777" w:rsidR="00B465F6" w:rsidRPr="00EF4897" w:rsidRDefault="00000000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Across the 26-year timeline (2000–2026), Gujarat's statewide industrial land trajectory underwent distinct economic phases: (1) Post-earthquake reconstruction and infrastructure stabilization (2000–2007), (2) The structural shock of the Global Financial Crisis paired with major OEM reshoring such as Tata Nano (2008–2011), (3) Technology and freight-corridor driven manufacturing expansion along the Western DFC and DMIC (2012–2019), (4) Pandemic-era global supply chain realignment and PLI scheme capital influx (2020–2022), and (5) A stabilization phase under higher persistent interest rates and decentralized growth in Tier-2/Tier-3 corridors up to 2026.</w:t>
      </w:r>
    </w:p>
    <w:p w14:paraId="36F0833C" w14:textId="77777777" w:rsidR="00B465F6" w:rsidRPr="00EF4897" w:rsidRDefault="00000000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A.2 Difference-in-Differences (DiD) Econometric Model &amp; Causal Identification</w:t>
      </w:r>
    </w:p>
    <w:p w14:paraId="43E76B31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 quasi-experimental econometric identification technique that evaluates the causal effect of a specific industrial policy intervention or infrastructure shock by comparing changes in land prices over time between a treated group of industrial estates and an untreated control group. [1] </w:t>
      </w:r>
      <w:hyperlink r:id="rId20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Angrist &amp; Pischke (2009) Mostly Harmless Econometrics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1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Callaway &amp; Sant'Anna (2021) Journal of Econometrics</w:t>
        </w:r>
      </w:hyperlink>
    </w:p>
    <w:p w14:paraId="200811D7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Estimated via a two-way fixed effects (TWFE) OLS specification: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ln(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Price_it) = α + β1*Treat_i + β2*Post_t + β3*(Treat_i × Post_t) + X_it'*γ + ε_it. Here, β3 is the DiD causal estimator: β3_hat = (Y_bar_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T,Post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T,Pre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) - (Y_bar_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C,Post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C,Pre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). Identification relies strictly on the Parallel Trends Assumption: E[Y_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0) - 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i,pre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(0) | Treat_i=1] = E[Y_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0) - 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i,pre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(0) | Treat_i=0], which asserts that in the absence of treatment, both groups would have evolved along identical growth trajectories.</w:t>
      </w:r>
    </w:p>
    <w:p w14:paraId="70A1332E" w14:textId="77777777" w:rsidR="00B465F6" w:rsidRPr="00EF4897" w:rsidRDefault="00000000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Applied in this research to test the causal impact of the 2008 Flagship Anchor / Mega Hub Influx (Tata Nano Sanand &amp; Dahej PCPIR) and the 2010 CPCB CEPI Statutory Environmental Moratorium. The empirical data confirms parallel trends from 2000 to 2007 (pre-treatment growth gap &lt;0.3% p.a.), with subsequent post-treatment divergence generating a net causal premium of +45.0% (+₹1,984.5/sqm) for anchor estates by 2026.</w:t>
      </w:r>
    </w:p>
    <w:p w14:paraId="73354FE3" w14:textId="77777777" w:rsidR="00B465F6" w:rsidRPr="00EF4897" w:rsidRDefault="00000000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A.3 Dynamic Event-Study Leads and Lags Specification</w:t>
      </w:r>
    </w:p>
    <w:p w14:paraId="5F46B21F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 temporal decomposition of treatment effects across event time relative to the shock year, providing both a formal pre-trend diagnostic test and a multi-year tracking of dynamic price compounding. [1] </w:t>
      </w:r>
      <w:hyperlink r:id="rId22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Roth (2022) Pre-test with Event Studies, AER: Insights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3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Sun &amp; Abraham (2021) Journal of Econometrics</w:t>
        </w:r>
      </w:hyperlink>
    </w:p>
    <w:p w14:paraId="362C3670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Formulated as: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ln(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Price_it) = α_i + λ_t + Σ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τ=-K, τ≠-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L δ_τ * (Treat_i × 1[t - T0 = τ]) + X_it'*γ + ε_it, where τ represents event years relative to the intervention year T0 = 2008. The reference period τ = -1 (2007) is omitted as the baseline. The Parallel Trends Assumption is formally validated if the pre-treatment leads are jointly zero: H0: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-5}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-4}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-3}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-2} = 0, tested via an empirical F-test.</w:t>
      </w:r>
    </w:p>
    <w:p w14:paraId="59314519" w14:textId="77777777" w:rsidR="00B465F6" w:rsidRPr="00EF4897" w:rsidRDefault="00000000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In our 26-year empirical panel, the lead coefficients prior to 2008 yield an F-statistic of 1.05 with a p-value of 0.38, failing to reject the null hypothesis of parallel pre-trends. Post-treatment lags (τ = 0 to +6) reveal monotonic upward compounding rather than a one-time step jump, reflecting agglomeration economies and cumulative auxiliary supplier co-location.</w:t>
      </w:r>
    </w:p>
    <w:p w14:paraId="5234A4D3" w14:textId="77777777" w:rsidR="00B465F6" w:rsidRPr="00EF4897" w:rsidRDefault="00000000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lastRenderedPageBreak/>
        <w:t>A.4 Industrial Estate Lifecycle Senescence &amp; Brownfield Morbidity</w:t>
      </w:r>
    </w:p>
    <w:p w14:paraId="48A41D33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structural decay and carrying-capacity deceleration experienced by aging industrial estates as physical infrastructure depreciates, central effluent treatment plants (CETP) saturate, and urban freight curfews restrict logistics. [1] </w:t>
      </w:r>
      <w:hyperlink r:id="rId24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Journal of Urban Economics, Industrial Brownfield Dynamics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5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CPCB Comprehensive Environmental Assessment Audit 2024</w:t>
        </w:r>
      </w:hyperlink>
    </w:p>
    <w:p w14:paraId="5B01129B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Quantified by the Estate Decay Index (EDI </w:t>
      </w:r>
      <w:r w:rsidRPr="00EF4897">
        <w:rPr>
          <w:rFonts w:ascii="Cambria Math" w:hAnsi="Cambria Math" w:cs="Cambria Math"/>
          <w:sz w:val="24"/>
          <w:szCs w:val="24"/>
        </w:rPr>
        <w:t>∈</w:t>
      </w:r>
      <w:r w:rsidRPr="00EF4897">
        <w:rPr>
          <w:rFonts w:ascii="Times New Roman" w:hAnsi="Times New Roman" w:cs="Times New Roman"/>
          <w:sz w:val="24"/>
          <w:szCs w:val="24"/>
        </w:rPr>
        <w:t xml:space="preserve"> [0, 100]) and the Brownfield Morbidity Ratio: BMR_j = (Unutilized &amp; Sick Plot Footprint Area_j) / (Total Plotted Area_j). Sunk obsolescence triggers when estate occupancy exceeds 85%, urban curfew hours exceed 8 hrs/day, and CEPI pollution scores surpass 70, causing statutory rate appreciation to stagnate.</w:t>
      </w:r>
    </w:p>
    <w:p w14:paraId="53339F6C" w14:textId="77777777" w:rsidR="00B465F6" w:rsidRPr="00EF4897" w:rsidRDefault="00000000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Demonstrated empirically across Gujarat: Pioneer estates notified between 1990–1999 (Vatva, Naroda, Vapi) experienced price plateaus averaging ₹3,949/sqm in 2026, compared to ₹4,488/sqm in modern SEZ hubs and up to ₹15,131/sqm in specialized greenfield auto corridors.</w:t>
      </w:r>
    </w:p>
    <w:p w14:paraId="7E77C746" w14:textId="77777777" w:rsidR="00B465F6" w:rsidRPr="00EF4897" w:rsidRDefault="00000000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A.5 Within-Park Micro-Spatial Gate Distance Decay Spline &amp; Logistical Choke</w:t>
      </w:r>
    </w:p>
    <w:p w14:paraId="5424CEDA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internal spatial rent gradient measuring how land values decline as a parcel's location moves deeper into the estate away from the multimodal arterial entrance gate toward dead-end interior cul-de-sacs. [1] </w:t>
      </w:r>
      <w:hyperlink r:id="rId26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Urban Studies, Internal Accessibility in Industrial Parks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7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DILR Gujarat Master Cadastral Plot Geometry Ledger</w:t>
        </w:r>
      </w:hyperlink>
    </w:p>
    <w:p w14:paraId="232055F1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Modeled via a negative exponential spatial rent function: P(d) = P_gate *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-k * d), where d is road network distance from the estate gate in meters, and k is the internal spatial decay elasticity coefficient. Logistical ingress capability is governed by the Logistical Ingress Factor: LIF = Internal Road Width (m) / 15.5m. When road width is &lt;12m (LIF &lt; 0.65), 3-axle multi-container freight trucks cannot execute a 3-point turn, triggering a turning lockout condition.</w:t>
      </w:r>
    </w:p>
    <w:p w14:paraId="2A8DC2BD" w14:textId="77777777" w:rsidR="00B465F6" w:rsidRPr="00EF4897" w:rsidRDefault="00000000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Micro-cadastral analysis of 3,478 surveyed plots proves that internal distance decay steepened dramatically as parks aged. In 2005, internal pricing was nearly flat (k = -0.00004, -7.7% discount at 2,000m). By 2026, internal congestion steepened the gradient to k = -0.00018, causing a steep -30.3% discount (₹4,850/sqm at gate vs. ₹3,380/sqm at 2,000m).</w:t>
      </w:r>
    </w:p>
    <w:p w14:paraId="1B748B61" w14:textId="77777777" w:rsidR="00B465F6" w:rsidRPr="00EF4897" w:rsidRDefault="00000000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A.6 Speculation Arbitrage Multiple (SAM) &amp; The Statutory Price Wedge</w:t>
      </w:r>
    </w:p>
    <w:p w14:paraId="6113BCFC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ratio between secondary resale market property prices and statutory GIDC gazette allotment rates, capturing the administrative lag in public land pricing and the magnitude of uncaptured secondary private windfalls. [1] </w:t>
      </w:r>
      <w:hyperlink r:id="rId28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Land Use Policy, Public Industrial Land Leasing Systems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9">
        <w:r w:rsidR="00B465F6"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Revenue Department Gujarat Jantri Annual Statement 2023</w:t>
        </w:r>
      </w:hyperlink>
    </w:p>
    <w:p w14:paraId="4D460AF4" w14:textId="77777777" w:rsidR="00B465F6" w:rsidRPr="00EF4897" w:rsidRDefault="00000000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>Calculated as: SAM_it = 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Secondary Market Resale) / 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Statutory GIDC Gazette Allotment). A SAM &gt; 1.0 indicates that official statutory circulars underprice the market, enabling private allotted entities to extract speculative premiums upon resale or transfer.</w:t>
      </w:r>
    </w:p>
    <w:p w14:paraId="131F12B4" w14:textId="77777777" w:rsidR="00B465F6" w:rsidRPr="00EF4897" w:rsidRDefault="00000000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Across mature industrial parks in Gujarat (e.g. Changodar, Sanand, Sachin), SAM ranges from 1.25x to 1.85x, reflecting a 2–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3 year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statutory revision lag. In contrast, peripheral decaying estates exhibit SAM &lt; 0.90, where private secondary liquidity trades below GIDC base rates.</w:t>
      </w:r>
    </w:p>
    <w:sectPr w:rsidR="00B465F6" w:rsidRPr="00EF4897" w:rsidSect="00034616">
      <w:pgSz w:w="12240" w:h="15840"/>
      <w:pgMar w:top="547" w:right="648" w:bottom="547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B2E2B"/>
    <w:multiLevelType w:val="hybridMultilevel"/>
    <w:tmpl w:val="9B4887CE"/>
    <w:lvl w:ilvl="0" w:tplc="A570288A">
      <w:start w:val="1"/>
      <w:numFmt w:val="decimal"/>
      <w:lvlText w:val="(%1)"/>
      <w:lvlJc w:val="left"/>
      <w:pPr>
        <w:ind w:left="468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108166998">
    <w:abstractNumId w:val="8"/>
  </w:num>
  <w:num w:numId="2" w16cid:durableId="941843880">
    <w:abstractNumId w:val="6"/>
  </w:num>
  <w:num w:numId="3" w16cid:durableId="95952264">
    <w:abstractNumId w:val="5"/>
  </w:num>
  <w:num w:numId="4" w16cid:durableId="743844088">
    <w:abstractNumId w:val="4"/>
  </w:num>
  <w:num w:numId="5" w16cid:durableId="23020375">
    <w:abstractNumId w:val="7"/>
  </w:num>
  <w:num w:numId="6" w16cid:durableId="2082825623">
    <w:abstractNumId w:val="3"/>
  </w:num>
  <w:num w:numId="7" w16cid:durableId="2122067682">
    <w:abstractNumId w:val="2"/>
  </w:num>
  <w:num w:numId="8" w16cid:durableId="1992781605">
    <w:abstractNumId w:val="1"/>
  </w:num>
  <w:num w:numId="9" w16cid:durableId="24329341">
    <w:abstractNumId w:val="0"/>
  </w:num>
  <w:num w:numId="10" w16cid:durableId="12461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15C"/>
    <w:rsid w:val="001E4966"/>
    <w:rsid w:val="002179ED"/>
    <w:rsid w:val="0028062D"/>
    <w:rsid w:val="0029639D"/>
    <w:rsid w:val="002B4D0C"/>
    <w:rsid w:val="002B7AA6"/>
    <w:rsid w:val="002F363A"/>
    <w:rsid w:val="00326F90"/>
    <w:rsid w:val="003F7EAC"/>
    <w:rsid w:val="00592EFE"/>
    <w:rsid w:val="005B6945"/>
    <w:rsid w:val="00827A33"/>
    <w:rsid w:val="00877F3E"/>
    <w:rsid w:val="008C62DD"/>
    <w:rsid w:val="00923179"/>
    <w:rsid w:val="009614FD"/>
    <w:rsid w:val="00A549E9"/>
    <w:rsid w:val="00AA1D8D"/>
    <w:rsid w:val="00B40329"/>
    <w:rsid w:val="00B465F6"/>
    <w:rsid w:val="00B47730"/>
    <w:rsid w:val="00CB0664"/>
    <w:rsid w:val="00DD2A96"/>
    <w:rsid w:val="00DF4A9B"/>
    <w:rsid w:val="00E67918"/>
    <w:rsid w:val="00EF4897"/>
    <w:rsid w:val="00F27744"/>
    <w:rsid w:val="00F63BE1"/>
    <w:rsid w:val="00F90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A3B73"/>
  <w14:defaultImageDpi w14:val="300"/>
  <w15:docId w15:val="{EC645CEC-78D5-486D-9B04-99DE4C02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dc.gujarat.gov.in/allotmentprice" TargetMode="External"/><Relationship Id="rId18" Type="http://schemas.openxmlformats.org/officeDocument/2006/relationships/hyperlink" Target="https://www.sciencedirect.com/science/article/abs/pii/S1062976922001314" TargetMode="External"/><Relationship Id="rId26" Type="http://schemas.openxmlformats.org/officeDocument/2006/relationships/hyperlink" Target="https://www.sciencedirect.com/science/article/abs/pii/S004209802100876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direct.com/science/article/pii/S0304407620303948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revenuedepartment.gujarat.gov.in/jantri-rates-2023" TargetMode="External"/><Relationship Id="rId17" Type="http://schemas.openxmlformats.org/officeDocument/2006/relationships/hyperlink" Target="https://cpcb.nic.in/cepi_reports/gujarat_industrial_clusters_2024.pdf" TargetMode="External"/><Relationship Id="rId25" Type="http://schemas.openxmlformats.org/officeDocument/2006/relationships/hyperlink" Target="https://cpcb.nic.in/cepi_reports/gujarat_industrial_clusters_2024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dc.gujarat.gov.in/pdf/allotment-price/allotment-price-2004-2005.pdf" TargetMode="External"/><Relationship Id="rId20" Type="http://schemas.openxmlformats.org/officeDocument/2006/relationships/hyperlink" Target="https://www.sciencedirect.com/science/article/abs/pii/S1062976922001314" TargetMode="External"/><Relationship Id="rId29" Type="http://schemas.openxmlformats.org/officeDocument/2006/relationships/hyperlink" Target="https://revenuedepartment.gujarat.gov.in/jantri-rates-202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sciencedirect.com/science/article/pii/S009411902100054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dc.gujarat.gov.in/pdf/Circular/CIRCULAR-ALLOTMENT-PRICE.pdf" TargetMode="External"/><Relationship Id="rId23" Type="http://schemas.openxmlformats.org/officeDocument/2006/relationships/hyperlink" Target="https://www.sciencedirect.com/science/article/pii/S0304407620303778" TargetMode="External"/><Relationship Id="rId28" Type="http://schemas.openxmlformats.org/officeDocument/2006/relationships/hyperlink" Target="https://www.sciencedirect.com/science/article/pii/S0264837722002135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sciencedirect.com/science/article/pii/S0264999322001456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dc.gujarat.gov.in/pdf/June%202022%20GIDC%20Sanand%20Industrial%20Estate.pdf" TargetMode="External"/><Relationship Id="rId22" Type="http://schemas.openxmlformats.org/officeDocument/2006/relationships/hyperlink" Target="https://www.aeaweb.org/articles?id=10.1257/aeri.20210236" TargetMode="External"/><Relationship Id="rId27" Type="http://schemas.openxmlformats.org/officeDocument/2006/relationships/hyperlink" Target="https://gidc.gujarat.gov.in/maps/sanand2_bol_cadastra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2564</Words>
  <Characters>14617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puneetarora200@outlook.com</cp:lastModifiedBy>
  <cp:revision>22</cp:revision>
  <dcterms:created xsi:type="dcterms:W3CDTF">2013-12-23T23:15:00Z</dcterms:created>
  <dcterms:modified xsi:type="dcterms:W3CDTF">2026-10-04T16:25:00Z</dcterms:modified>
  <cp:category/>
</cp:coreProperties>
</file>