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D293B" w14:textId="41C0FCE8" w:rsidR="00F91132" w:rsidRDefault="00F91132">
      <w:pPr>
        <w:spacing w:after="40" w:line="252" w:lineRule="auto"/>
        <w:rPr>
          <w:rFonts w:ascii="Arial" w:hAnsi="Arial"/>
          <w:b/>
          <w:color w:val="0F172A"/>
          <w:sz w:val="25"/>
        </w:rPr>
      </w:pPr>
      <w:r>
        <w:rPr>
          <w:rFonts w:ascii="Arial" w:hAnsi="Arial"/>
          <w:b/>
          <w:color w:val="0F172A"/>
          <w:sz w:val="25"/>
        </w:rPr>
        <w:t xml:space="preserve">                                                      RESEARCH BRIEF: </w:t>
      </w:r>
    </w:p>
    <w:p w14:paraId="482F836F" w14:textId="77777777" w:rsidR="00F91132" w:rsidRDefault="00F91132">
      <w:pPr>
        <w:spacing w:after="40" w:line="252" w:lineRule="auto"/>
        <w:rPr>
          <w:rFonts w:ascii="Arial" w:hAnsi="Arial"/>
          <w:b/>
          <w:color w:val="0F172A"/>
          <w:sz w:val="25"/>
        </w:rPr>
      </w:pPr>
    </w:p>
    <w:p w14:paraId="093EEA10" w14:textId="3033A436" w:rsidR="006601D4" w:rsidRDefault="00000000">
      <w:pPr>
        <w:spacing w:after="40" w:line="252" w:lineRule="auto"/>
      </w:pPr>
      <w:r>
        <w:rPr>
          <w:rFonts w:ascii="Arial" w:hAnsi="Arial"/>
          <w:b/>
          <w:color w:val="0F172A"/>
          <w:sz w:val="25"/>
        </w:rPr>
        <w:t>LONGITUDINAL PRICE EVOLUTION INSIDE INDUSTRIAL PARKS (2000–2026)</w:t>
      </w:r>
    </w:p>
    <w:p w14:paraId="327A4BB5" w14:textId="77777777" w:rsidR="003E01DD" w:rsidRDefault="003E01DD">
      <w:pPr>
        <w:spacing w:after="120" w:line="252" w:lineRule="auto"/>
        <w:rPr>
          <w:b/>
          <w:color w:val="1E3A8A"/>
          <w:sz w:val="17"/>
        </w:rPr>
      </w:pPr>
    </w:p>
    <w:p w14:paraId="4864AC7E" w14:textId="77777777" w:rsidR="003E01DD" w:rsidRDefault="003E01DD">
      <w:pPr>
        <w:spacing w:after="120" w:line="252" w:lineRule="auto"/>
        <w:rPr>
          <w:b/>
          <w:color w:val="1E3A8A"/>
          <w:sz w:val="17"/>
        </w:rPr>
      </w:pPr>
    </w:p>
    <w:p w14:paraId="796FDC8A" w14:textId="0783B157" w:rsidR="003E01DD" w:rsidRPr="00F91132" w:rsidRDefault="003E01DD">
      <w:pPr>
        <w:spacing w:after="120" w:line="252" w:lineRule="auto"/>
        <w:rPr>
          <w:sz w:val="36"/>
          <w:szCs w:val="36"/>
        </w:rPr>
      </w:pPr>
      <w:r w:rsidRPr="00F91132">
        <w:rPr>
          <w:b/>
          <w:color w:val="1E3A8A"/>
          <w:sz w:val="36"/>
          <w:szCs w:val="36"/>
        </w:rPr>
        <w:t xml:space="preserve"> </w:t>
      </w:r>
      <w:r w:rsidRPr="00F91132">
        <w:rPr>
          <w:sz w:val="36"/>
          <w:szCs w:val="36"/>
        </w:rPr>
        <w:t xml:space="preserve">Empirical In-Park Land Price (₹/sqm) Dynamics Across Decades | </w:t>
      </w:r>
    </w:p>
    <w:p w14:paraId="4DA6137F" w14:textId="64DFEB97" w:rsidR="006601D4" w:rsidRPr="00F91132" w:rsidRDefault="00000000">
      <w:pPr>
        <w:spacing w:after="120" w:line="252" w:lineRule="auto"/>
        <w:rPr>
          <w:sz w:val="36"/>
          <w:szCs w:val="36"/>
        </w:rPr>
      </w:pPr>
      <w:r w:rsidRPr="00F91132">
        <w:rPr>
          <w:sz w:val="36"/>
          <w:szCs w:val="36"/>
        </w:rPr>
        <w:t xml:space="preserve"> </w:t>
      </w:r>
      <w:r w:rsidRPr="00F91132">
        <w:rPr>
          <w:b/>
          <w:color w:val="1E3A8A"/>
          <w:sz w:val="36"/>
          <w:szCs w:val="36"/>
        </w:rPr>
        <w:t xml:space="preserve">Empirical Scope: </w:t>
      </w:r>
      <w:r w:rsidRPr="00F91132">
        <w:rPr>
          <w:sz w:val="36"/>
          <w:szCs w:val="36"/>
        </w:rPr>
        <w:t xml:space="preserve">312 GIDC Estates, N=8,448 Observations (100% Statutory </w:t>
      </w:r>
      <w:r w:rsidR="003E01DD" w:rsidRPr="00F91132">
        <w:rPr>
          <w:sz w:val="36"/>
          <w:szCs w:val="36"/>
        </w:rPr>
        <w:t>Data)</w:t>
      </w:r>
    </w:p>
    <w:p w14:paraId="176C3132" w14:textId="77777777" w:rsidR="003E01DD" w:rsidRDefault="003E01DD">
      <w:pPr>
        <w:spacing w:before="80" w:after="40"/>
        <w:rPr>
          <w:rFonts w:ascii="Arial" w:hAnsi="Arial"/>
          <w:b/>
          <w:color w:val="1E3A8A"/>
          <w:sz w:val="20"/>
        </w:rPr>
      </w:pPr>
    </w:p>
    <w:p w14:paraId="47840159" w14:textId="77777777" w:rsidR="003E01DD" w:rsidRDefault="003E01DD">
      <w:pPr>
        <w:spacing w:before="80" w:after="40"/>
        <w:rPr>
          <w:rFonts w:ascii="Arial" w:hAnsi="Arial"/>
          <w:b/>
          <w:color w:val="1E3A8A"/>
          <w:sz w:val="20"/>
        </w:rPr>
      </w:pPr>
    </w:p>
    <w:p w14:paraId="7746C500" w14:textId="2CA816EB" w:rsidR="006601D4" w:rsidRPr="003E01DD" w:rsidRDefault="00000000">
      <w:pPr>
        <w:spacing w:before="80" w:after="40"/>
        <w:rPr>
          <w:sz w:val="28"/>
          <w:szCs w:val="28"/>
        </w:rPr>
      </w:pPr>
      <w:r w:rsidRPr="003E01DD">
        <w:rPr>
          <w:rFonts w:ascii="Arial" w:hAnsi="Arial"/>
          <w:b/>
          <w:color w:val="1E3A8A"/>
          <w:sz w:val="28"/>
          <w:szCs w:val="28"/>
        </w:rPr>
        <w:t>1. Aggregate Statewide Price Trajectory &amp; Inter-Estate Inequality (2000–2026)</w:t>
      </w:r>
    </w:p>
    <w:p w14:paraId="71009758" w14:textId="77777777" w:rsidR="006601D4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0A6E2944" wp14:editId="20864C86">
            <wp:extent cx="6347460" cy="28210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price_trajector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3894" cy="282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BFE2" w14:textId="77777777" w:rsidR="00F91132" w:rsidRDefault="00F91132">
      <w:pPr>
        <w:spacing w:before="40" w:after="100" w:line="252" w:lineRule="auto"/>
        <w:rPr>
          <w:b/>
          <w:color w:val="0F172A"/>
          <w:sz w:val="28"/>
          <w:szCs w:val="28"/>
        </w:rPr>
      </w:pPr>
      <w:r>
        <w:rPr>
          <w:b/>
          <w:color w:val="0F172A"/>
          <w:sz w:val="28"/>
          <w:szCs w:val="28"/>
        </w:rPr>
        <w:t xml:space="preserve"> </w:t>
      </w:r>
    </w:p>
    <w:p w14:paraId="6D39E4AF" w14:textId="77777777" w:rsidR="004A31CC" w:rsidRDefault="00000000">
      <w:pPr>
        <w:spacing w:before="40" w:after="100" w:line="252" w:lineRule="auto"/>
        <w:rPr>
          <w:b/>
          <w:color w:val="0F172A"/>
          <w:sz w:val="28"/>
          <w:szCs w:val="28"/>
        </w:rPr>
      </w:pPr>
      <w:r w:rsidRPr="003E01DD">
        <w:rPr>
          <w:b/>
          <w:color w:val="0F172A"/>
          <w:sz w:val="28"/>
          <w:szCs w:val="28"/>
        </w:rPr>
        <w:t xml:space="preserve">Empirical Inferences &amp; Price Dynamics: </w:t>
      </w:r>
    </w:p>
    <w:p w14:paraId="2ACEB131" w14:textId="5D9E095D" w:rsidR="00F91132" w:rsidRPr="00CE0086" w:rsidRDefault="00000000" w:rsidP="00CE0086">
      <w:pPr>
        <w:pStyle w:val="ListParagraph"/>
        <w:numPr>
          <w:ilvl w:val="0"/>
          <w:numId w:val="11"/>
        </w:numPr>
        <w:spacing w:before="40" w:after="100" w:line="252" w:lineRule="auto"/>
        <w:rPr>
          <w:color w:val="334155"/>
          <w:sz w:val="24"/>
          <w:szCs w:val="24"/>
        </w:rPr>
      </w:pPr>
      <w:r w:rsidRPr="00CE0086">
        <w:rPr>
          <w:color w:val="334155"/>
          <w:sz w:val="28"/>
          <w:szCs w:val="28"/>
        </w:rPr>
        <w:t xml:space="preserve">Nominal vs. Real Growth: </w:t>
      </w:r>
      <w:r w:rsidRPr="00CE0086">
        <w:rPr>
          <w:color w:val="334155"/>
          <w:sz w:val="24"/>
          <w:szCs w:val="24"/>
        </w:rPr>
        <w:t xml:space="preserve">Over the 26-year study window, median in-park statutory allotment rates appreciated from ₹180.0/sqm in 2000 to ₹3,400.0/sqm in 2026 (nominal CAGR of 11.7%; mean rates rose from ₹241.2 to ₹4,246.4/sqm). </w:t>
      </w:r>
    </w:p>
    <w:p w14:paraId="20D67047" w14:textId="0D61872F" w:rsidR="00CE0086" w:rsidRPr="00CE0086" w:rsidRDefault="00CE0086" w:rsidP="00CE0086">
      <w:pPr>
        <w:pStyle w:val="ListParagraph"/>
        <w:spacing w:before="40" w:after="100" w:line="252" w:lineRule="auto"/>
        <w:ind w:left="792"/>
        <w:rPr>
          <w:color w:val="334155"/>
          <w:sz w:val="24"/>
          <w:szCs w:val="24"/>
        </w:rPr>
      </w:pPr>
      <w:r>
        <w:rPr>
          <w:rFonts w:ascii="Times New Roman" w:hAnsi="Times New Roman" w:cs="Times New Roman"/>
          <w:noProof/>
          <w:color w:val="334155"/>
          <w:sz w:val="28"/>
          <w:szCs w:val="28"/>
        </w:rPr>
        <w:lastRenderedPageBreak/>
        <w:drawing>
          <wp:inline distT="0" distB="0" distL="0" distR="0" wp14:anchorId="718BDB01" wp14:editId="1D5DB9C4">
            <wp:extent cx="6294120" cy="4103624"/>
            <wp:effectExtent l="0" t="0" r="0" b="0"/>
            <wp:docPr id="20030393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39398" name="Picture 200303939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5778" cy="410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AFFA1" w14:textId="77777777" w:rsidR="00F91132" w:rsidRPr="00F91132" w:rsidRDefault="00000000" w:rsidP="00CD0D7E">
      <w:pPr>
        <w:spacing w:before="40" w:after="100" w:line="252" w:lineRule="auto"/>
        <w:jc w:val="both"/>
        <w:rPr>
          <w:color w:val="334155"/>
          <w:sz w:val="24"/>
          <w:szCs w:val="24"/>
        </w:rPr>
      </w:pPr>
      <w:r w:rsidRPr="00F91132">
        <w:rPr>
          <w:color w:val="334155"/>
          <w:sz w:val="24"/>
          <w:szCs w:val="24"/>
        </w:rPr>
        <w:t xml:space="preserve">Deflating by the CPI-Industrial Workers (Base 2010=100) confirms a positive real capital compounding rate of 5.8% p.a., verifying that planned industrial estates have significantly outpaced general industrial inflation. </w:t>
      </w:r>
    </w:p>
    <w:p w14:paraId="42C0F2AF" w14:textId="46D9B464" w:rsidR="00F91132" w:rsidRPr="00CE0086" w:rsidRDefault="00000000" w:rsidP="00CE0086">
      <w:pPr>
        <w:pStyle w:val="ListParagraph"/>
        <w:numPr>
          <w:ilvl w:val="0"/>
          <w:numId w:val="11"/>
        </w:numPr>
        <w:spacing w:before="40" w:after="100" w:line="252" w:lineRule="auto"/>
        <w:jc w:val="both"/>
        <w:rPr>
          <w:color w:val="334155"/>
          <w:sz w:val="24"/>
          <w:szCs w:val="24"/>
        </w:rPr>
      </w:pPr>
      <w:r w:rsidRPr="00CE0086">
        <w:rPr>
          <w:color w:val="334155"/>
          <w:sz w:val="24"/>
          <w:szCs w:val="24"/>
        </w:rPr>
        <w:t xml:space="preserve">Widening Inter-Park Inequality: The interquartile spread (P25–P75) expanded from ₹180–₹240/sqm in 2000 to ₹3,400–₹5,074/sqm in 2026, driven by logistics advantages along the NH-48 / Western DFC belt. </w:t>
      </w:r>
    </w:p>
    <w:p w14:paraId="0AADC135" w14:textId="77777777" w:rsidR="00CE0086" w:rsidRDefault="00CE0086" w:rsidP="00CE0086">
      <w:pPr>
        <w:pStyle w:val="ListParagraph"/>
        <w:spacing w:before="40" w:after="100" w:line="252" w:lineRule="auto"/>
        <w:ind w:left="792"/>
        <w:jc w:val="both"/>
        <w:rPr>
          <w:color w:val="334155"/>
          <w:sz w:val="24"/>
          <w:szCs w:val="24"/>
        </w:rPr>
      </w:pPr>
    </w:p>
    <w:p w14:paraId="28687D16" w14:textId="77777777" w:rsidR="00CE0086" w:rsidRDefault="00CE0086" w:rsidP="00CE0086">
      <w:pPr>
        <w:pStyle w:val="ListParagraph"/>
        <w:spacing w:before="40" w:after="100" w:line="252" w:lineRule="auto"/>
        <w:ind w:left="792"/>
        <w:jc w:val="both"/>
        <w:rPr>
          <w:color w:val="334155"/>
          <w:sz w:val="24"/>
          <w:szCs w:val="24"/>
        </w:rPr>
      </w:pPr>
    </w:p>
    <w:p w14:paraId="7562C3FD" w14:textId="41DAD1B1" w:rsidR="00CE0086" w:rsidRPr="00CE0086" w:rsidRDefault="00CE0086" w:rsidP="00CE0086">
      <w:pPr>
        <w:pStyle w:val="ListParagraph"/>
        <w:spacing w:before="40" w:after="100" w:line="252" w:lineRule="auto"/>
        <w:ind w:left="792"/>
        <w:jc w:val="both"/>
        <w:rPr>
          <w:color w:val="334155"/>
          <w:sz w:val="24"/>
          <w:szCs w:val="24"/>
        </w:rPr>
      </w:pPr>
      <w:r>
        <w:rPr>
          <w:rFonts w:ascii="Times New Roman" w:hAnsi="Times New Roman" w:cs="Times New Roman"/>
          <w:noProof/>
          <w:color w:val="334155"/>
          <w:sz w:val="28"/>
          <w:szCs w:val="28"/>
        </w:rPr>
        <w:lastRenderedPageBreak/>
        <w:drawing>
          <wp:inline distT="0" distB="0" distL="0" distR="0" wp14:anchorId="02AB3EC2" wp14:editId="7E934894">
            <wp:extent cx="6690940" cy="4320914"/>
            <wp:effectExtent l="0" t="0" r="0" b="3810"/>
            <wp:docPr id="200335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58205" name="Picture 200335820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0940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AFF08" w14:textId="7C9D89EB" w:rsidR="006601D4" w:rsidRPr="00F91132" w:rsidRDefault="00000000" w:rsidP="00CD0D7E">
      <w:pPr>
        <w:spacing w:before="40" w:after="100" w:line="252" w:lineRule="auto"/>
        <w:jc w:val="both"/>
        <w:rPr>
          <w:color w:val="334155"/>
          <w:sz w:val="24"/>
          <w:szCs w:val="24"/>
        </w:rPr>
      </w:pPr>
      <w:r w:rsidRPr="00F91132">
        <w:rPr>
          <w:color w:val="334155"/>
          <w:sz w:val="24"/>
          <w:szCs w:val="24"/>
        </w:rPr>
        <w:t>(3) Policy Revision Cycles: Land pricing exhibits discrete step-function jumps closely linked to the biennial Vibrant Gujarat Global Summit cycles (2005, 2011, 2015, 2019, 2024), where statutory base rates were comprehensively updated to match infrastructure capital investments.</w:t>
      </w:r>
    </w:p>
    <w:p w14:paraId="444CB5E3" w14:textId="77777777" w:rsidR="003E01DD" w:rsidRPr="00F91132" w:rsidRDefault="003E01DD">
      <w:pPr>
        <w:spacing w:before="40" w:after="100" w:line="252" w:lineRule="auto"/>
        <w:rPr>
          <w:color w:val="334155"/>
          <w:sz w:val="24"/>
          <w:szCs w:val="24"/>
        </w:rPr>
      </w:pPr>
    </w:p>
    <w:p w14:paraId="2E73D862" w14:textId="77777777" w:rsidR="003E01DD" w:rsidRDefault="003E01DD">
      <w:pPr>
        <w:spacing w:before="40" w:after="100" w:line="252" w:lineRule="auto"/>
        <w:rPr>
          <w:color w:val="334155"/>
          <w:sz w:val="28"/>
          <w:szCs w:val="28"/>
        </w:rPr>
      </w:pPr>
    </w:p>
    <w:p w14:paraId="30A4EBF3" w14:textId="77777777" w:rsidR="003E01DD" w:rsidRDefault="003E01DD">
      <w:pPr>
        <w:spacing w:before="40" w:after="100" w:line="252" w:lineRule="auto"/>
        <w:rPr>
          <w:color w:val="334155"/>
          <w:sz w:val="28"/>
          <w:szCs w:val="28"/>
        </w:rPr>
      </w:pPr>
    </w:p>
    <w:p w14:paraId="22110DFC" w14:textId="77777777" w:rsidR="00CE0086" w:rsidRDefault="00CE0086">
      <w:pPr>
        <w:spacing w:before="40" w:after="100" w:line="252" w:lineRule="auto"/>
        <w:rPr>
          <w:color w:val="334155"/>
          <w:sz w:val="28"/>
          <w:szCs w:val="28"/>
        </w:rPr>
      </w:pPr>
    </w:p>
    <w:p w14:paraId="0359A43C" w14:textId="77777777" w:rsidR="00CE0086" w:rsidRDefault="00CE0086">
      <w:pPr>
        <w:spacing w:before="40" w:after="100" w:line="252" w:lineRule="auto"/>
        <w:rPr>
          <w:color w:val="334155"/>
          <w:sz w:val="28"/>
          <w:szCs w:val="28"/>
        </w:rPr>
      </w:pPr>
    </w:p>
    <w:p w14:paraId="5597B863" w14:textId="77777777" w:rsidR="00CE0086" w:rsidRDefault="00CE0086">
      <w:pPr>
        <w:spacing w:before="40" w:after="100" w:line="252" w:lineRule="auto"/>
        <w:rPr>
          <w:color w:val="334155"/>
          <w:sz w:val="28"/>
          <w:szCs w:val="28"/>
        </w:rPr>
      </w:pPr>
    </w:p>
    <w:p w14:paraId="11A2AF29" w14:textId="77777777" w:rsidR="00CE0086" w:rsidRDefault="00CE0086">
      <w:pPr>
        <w:spacing w:before="40" w:after="100" w:line="252" w:lineRule="auto"/>
        <w:rPr>
          <w:color w:val="334155"/>
          <w:sz w:val="28"/>
          <w:szCs w:val="28"/>
        </w:rPr>
      </w:pPr>
    </w:p>
    <w:p w14:paraId="44D1CC13" w14:textId="77777777" w:rsidR="00CE0086" w:rsidRDefault="00CE0086">
      <w:pPr>
        <w:spacing w:before="40" w:after="100" w:line="252" w:lineRule="auto"/>
        <w:rPr>
          <w:color w:val="334155"/>
          <w:sz w:val="28"/>
          <w:szCs w:val="28"/>
        </w:rPr>
      </w:pPr>
    </w:p>
    <w:p w14:paraId="676CC05D" w14:textId="77777777" w:rsidR="00CE0086" w:rsidRDefault="00CE0086">
      <w:pPr>
        <w:spacing w:before="40" w:after="100" w:line="252" w:lineRule="auto"/>
        <w:rPr>
          <w:color w:val="334155"/>
          <w:sz w:val="28"/>
          <w:szCs w:val="28"/>
        </w:rPr>
      </w:pPr>
    </w:p>
    <w:p w14:paraId="2C9C0801" w14:textId="77777777" w:rsidR="00CE0086" w:rsidRDefault="00CE0086">
      <w:pPr>
        <w:spacing w:before="40" w:after="100" w:line="252" w:lineRule="auto"/>
        <w:rPr>
          <w:color w:val="334155"/>
          <w:sz w:val="28"/>
          <w:szCs w:val="28"/>
        </w:rPr>
      </w:pPr>
    </w:p>
    <w:p w14:paraId="0B663984" w14:textId="77777777" w:rsidR="00CE0086" w:rsidRDefault="00CE0086">
      <w:pPr>
        <w:spacing w:before="40" w:after="100" w:line="252" w:lineRule="auto"/>
        <w:rPr>
          <w:color w:val="334155"/>
          <w:sz w:val="28"/>
          <w:szCs w:val="28"/>
        </w:rPr>
      </w:pPr>
    </w:p>
    <w:p w14:paraId="3CC2A3C5" w14:textId="77777777" w:rsidR="00CE0086" w:rsidRDefault="00CE0086">
      <w:pPr>
        <w:spacing w:before="40" w:after="100" w:line="252" w:lineRule="auto"/>
        <w:rPr>
          <w:color w:val="334155"/>
          <w:sz w:val="28"/>
          <w:szCs w:val="28"/>
        </w:rPr>
      </w:pPr>
    </w:p>
    <w:p w14:paraId="44EF860B" w14:textId="77777777" w:rsidR="00CE0086" w:rsidRDefault="00CE0086">
      <w:pPr>
        <w:spacing w:before="40" w:after="100" w:line="252" w:lineRule="auto"/>
        <w:rPr>
          <w:color w:val="334155"/>
          <w:sz w:val="28"/>
          <w:szCs w:val="28"/>
        </w:rPr>
      </w:pPr>
    </w:p>
    <w:p w14:paraId="12EB1482" w14:textId="77777777" w:rsidR="003E01DD" w:rsidRPr="003E01DD" w:rsidRDefault="003E01DD">
      <w:pPr>
        <w:spacing w:before="40" w:after="100" w:line="252" w:lineRule="auto"/>
        <w:rPr>
          <w:sz w:val="28"/>
          <w:szCs w:val="28"/>
        </w:rPr>
      </w:pPr>
    </w:p>
    <w:p w14:paraId="26D6BDAF" w14:textId="77777777" w:rsidR="006601D4" w:rsidRDefault="00000000">
      <w:pPr>
        <w:spacing w:before="80" w:after="40"/>
        <w:rPr>
          <w:rFonts w:ascii="Arial" w:hAnsi="Arial"/>
          <w:b/>
          <w:color w:val="1E3A8A"/>
          <w:sz w:val="32"/>
          <w:szCs w:val="32"/>
        </w:rPr>
      </w:pPr>
      <w:r w:rsidRPr="003E01DD">
        <w:rPr>
          <w:rFonts w:ascii="Arial" w:hAnsi="Arial"/>
          <w:b/>
          <w:color w:val="1E3A8A"/>
          <w:sz w:val="28"/>
          <w:szCs w:val="28"/>
        </w:rPr>
        <w:lastRenderedPageBreak/>
        <w:t xml:space="preserve">2. </w:t>
      </w:r>
      <w:r w:rsidRPr="00CD0D7E">
        <w:rPr>
          <w:rFonts w:ascii="Arial" w:hAnsi="Arial"/>
          <w:b/>
          <w:color w:val="1E3A8A"/>
          <w:sz w:val="32"/>
          <w:szCs w:val="32"/>
        </w:rPr>
        <w:t>Lifecycle Divergence by Notification Vintage (Brownfield Plateaus vs. Greenfield Surges)</w:t>
      </w:r>
    </w:p>
    <w:p w14:paraId="38A7EA76" w14:textId="77777777" w:rsidR="00CD0D7E" w:rsidRDefault="00CD0D7E">
      <w:pPr>
        <w:spacing w:before="80" w:after="40"/>
      </w:pPr>
    </w:p>
    <w:p w14:paraId="1737AC02" w14:textId="77777777" w:rsidR="006601D4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745BB73E" wp14:editId="7D91B47D">
            <wp:extent cx="6537960" cy="2724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cohort_diverg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FAE6" w14:textId="77777777" w:rsidR="00CA44BC" w:rsidRDefault="00CA44BC" w:rsidP="00DF2BC7">
      <w:pPr>
        <w:spacing w:before="40" w:after="0" w:line="240" w:lineRule="auto"/>
        <w:jc w:val="both"/>
        <w:rPr>
          <w:b/>
          <w:color w:val="0F172A"/>
          <w:sz w:val="16"/>
        </w:rPr>
      </w:pPr>
    </w:p>
    <w:p w14:paraId="7D02ECFC" w14:textId="672BD4B4" w:rsidR="00CA44BC" w:rsidRDefault="00CD0D7E" w:rsidP="00DF2BC7">
      <w:pPr>
        <w:spacing w:before="40" w:after="0" w:line="240" w:lineRule="auto"/>
        <w:jc w:val="both"/>
        <w:rPr>
          <w:b/>
          <w:color w:val="0F172A"/>
          <w:sz w:val="28"/>
          <w:szCs w:val="28"/>
        </w:rPr>
      </w:pPr>
      <w:r>
        <w:rPr>
          <w:b/>
          <w:color w:val="0F172A"/>
          <w:sz w:val="16"/>
        </w:rPr>
        <w:t xml:space="preserve">  </w:t>
      </w:r>
      <w:r w:rsidRPr="00CD0D7E">
        <w:rPr>
          <w:b/>
          <w:color w:val="0F172A"/>
          <w:sz w:val="28"/>
          <w:szCs w:val="28"/>
        </w:rPr>
        <w:t xml:space="preserve">Empirical Inferences &amp; Cohort Divergence: </w:t>
      </w:r>
    </w:p>
    <w:p w14:paraId="5ABFEC9D" w14:textId="77777777" w:rsidR="00CA44BC" w:rsidRDefault="00CA44BC" w:rsidP="00DF2BC7">
      <w:pPr>
        <w:spacing w:before="40" w:after="0" w:line="240" w:lineRule="auto"/>
        <w:jc w:val="both"/>
        <w:rPr>
          <w:b/>
          <w:color w:val="0F172A"/>
          <w:sz w:val="28"/>
          <w:szCs w:val="28"/>
        </w:rPr>
      </w:pPr>
    </w:p>
    <w:p w14:paraId="670E51C6" w14:textId="77777777" w:rsidR="00CA44BC" w:rsidRDefault="00CD0D7E" w:rsidP="00DF2BC7">
      <w:pPr>
        <w:spacing w:before="40" w:after="0" w:line="240" w:lineRule="auto"/>
        <w:jc w:val="both"/>
        <w:rPr>
          <w:color w:val="334155"/>
          <w:sz w:val="28"/>
          <w:szCs w:val="28"/>
        </w:rPr>
      </w:pPr>
      <w:r w:rsidRPr="00CD0D7E">
        <w:rPr>
          <w:color w:val="334155"/>
          <w:sz w:val="28"/>
          <w:szCs w:val="28"/>
        </w:rPr>
        <w:t xml:space="preserve">(1) Established Centers Plateau (1990–1999 Vintages): Mature industrial parks such as Vatva, Naroda, Vapi, and Ankleshwar exhibit clear carrying-capacity stagnation (2026 mean: ₹3,949/sqm; median: ₹3,400/sqm). Sunk obsolescence, environmental moratoriums (CEPI scores &gt;70), and lack of unallotted contiguous land have constrained statutory rate appreciation. </w:t>
      </w:r>
    </w:p>
    <w:p w14:paraId="7DEE5521" w14:textId="28992924" w:rsidR="00CA44BC" w:rsidRDefault="00CA44BC" w:rsidP="00DF2BC7">
      <w:pPr>
        <w:spacing w:before="40" w:after="0" w:line="240" w:lineRule="auto"/>
        <w:jc w:val="both"/>
        <w:rPr>
          <w:color w:val="334155"/>
          <w:sz w:val="28"/>
          <w:szCs w:val="28"/>
        </w:rPr>
      </w:pPr>
    </w:p>
    <w:p w14:paraId="4B915D77" w14:textId="77777777" w:rsidR="00CE0086" w:rsidRDefault="00CE0086" w:rsidP="00DF2BC7">
      <w:pPr>
        <w:spacing w:before="40" w:after="0" w:line="240" w:lineRule="auto"/>
        <w:jc w:val="both"/>
        <w:rPr>
          <w:color w:val="334155"/>
          <w:sz w:val="28"/>
          <w:szCs w:val="28"/>
        </w:rPr>
      </w:pPr>
    </w:p>
    <w:p w14:paraId="0D02BBD4" w14:textId="77777777" w:rsidR="00CE0086" w:rsidRDefault="00CE0086" w:rsidP="00DF2BC7">
      <w:pPr>
        <w:spacing w:before="40" w:after="0" w:line="240" w:lineRule="auto"/>
        <w:jc w:val="both"/>
        <w:rPr>
          <w:color w:val="334155"/>
          <w:sz w:val="28"/>
          <w:szCs w:val="28"/>
        </w:rPr>
      </w:pPr>
    </w:p>
    <w:p w14:paraId="525F948F" w14:textId="77777777" w:rsidR="00CE0086" w:rsidRDefault="00CE0086" w:rsidP="00DF2BC7">
      <w:pPr>
        <w:spacing w:before="40" w:after="0" w:line="240" w:lineRule="auto"/>
        <w:jc w:val="both"/>
        <w:rPr>
          <w:color w:val="334155"/>
          <w:sz w:val="28"/>
          <w:szCs w:val="28"/>
        </w:rPr>
      </w:pPr>
    </w:p>
    <w:p w14:paraId="37509F9D" w14:textId="28A774AB" w:rsidR="00CA44BC" w:rsidRPr="00CE0086" w:rsidRDefault="00CD0D7E" w:rsidP="00CE0086">
      <w:pPr>
        <w:pStyle w:val="ListParagraph"/>
        <w:numPr>
          <w:ilvl w:val="0"/>
          <w:numId w:val="11"/>
        </w:numPr>
        <w:spacing w:before="40" w:after="0" w:line="240" w:lineRule="auto"/>
        <w:jc w:val="both"/>
        <w:rPr>
          <w:color w:val="334155"/>
          <w:sz w:val="28"/>
          <w:szCs w:val="28"/>
        </w:rPr>
      </w:pPr>
      <w:r w:rsidRPr="00CE0086">
        <w:rPr>
          <w:color w:val="334155"/>
          <w:sz w:val="28"/>
          <w:szCs w:val="28"/>
        </w:rPr>
        <w:t>SEZ &amp; Mega Hub Capitalization (2000–2012 Vintages): Estates developed during Gujarat's mega-investment drive (Sanand-I &amp; II, Dahej PCPIR, Jhagadia) compounded at the highest velocity, reaching a 2026 mean of ₹4,488/sqm (max ₹12,332/sqm), fueled by chemical pipeline connectivity and direct deep-sea port linkages.</w:t>
      </w:r>
    </w:p>
    <w:p w14:paraId="2CCAAB3D" w14:textId="66D69AB7" w:rsidR="00CE0086" w:rsidRPr="00CE0086" w:rsidRDefault="00CE0086" w:rsidP="00CE0086">
      <w:pPr>
        <w:pStyle w:val="ListParagraph"/>
        <w:spacing w:before="40" w:after="0" w:line="240" w:lineRule="auto"/>
        <w:ind w:left="792"/>
        <w:jc w:val="both"/>
        <w:rPr>
          <w:color w:val="334155"/>
          <w:sz w:val="28"/>
          <w:szCs w:val="28"/>
        </w:rPr>
      </w:pPr>
      <w:r>
        <w:rPr>
          <w:noProof/>
          <w:color w:val="334155"/>
          <w:sz w:val="28"/>
          <w:szCs w:val="28"/>
        </w:rPr>
        <w:lastRenderedPageBreak/>
        <w:drawing>
          <wp:inline distT="0" distB="0" distL="0" distR="0" wp14:anchorId="51FA4DF9" wp14:editId="6C208FFE">
            <wp:extent cx="5754235" cy="3421380"/>
            <wp:effectExtent l="0" t="0" r="0" b="7620"/>
            <wp:docPr id="4681404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40475" name="Picture 46814047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7549" cy="342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B562A" w14:textId="77777777" w:rsidR="00CA44BC" w:rsidRDefault="00CA44BC" w:rsidP="00DF2BC7">
      <w:pPr>
        <w:spacing w:before="40" w:after="0" w:line="240" w:lineRule="auto"/>
        <w:jc w:val="both"/>
        <w:rPr>
          <w:color w:val="334155"/>
          <w:sz w:val="28"/>
          <w:szCs w:val="28"/>
        </w:rPr>
      </w:pPr>
    </w:p>
    <w:p w14:paraId="4DCE7C80" w14:textId="2B082620" w:rsidR="006601D4" w:rsidRPr="00CD0D7E" w:rsidRDefault="00CD0D7E" w:rsidP="00DF2BC7">
      <w:pPr>
        <w:spacing w:before="40" w:after="0" w:line="240" w:lineRule="auto"/>
        <w:jc w:val="both"/>
        <w:rPr>
          <w:sz w:val="28"/>
          <w:szCs w:val="28"/>
        </w:rPr>
      </w:pPr>
      <w:r w:rsidRPr="00CD0D7E">
        <w:rPr>
          <w:color w:val="334155"/>
          <w:sz w:val="28"/>
          <w:szCs w:val="28"/>
        </w:rPr>
        <w:t xml:space="preserve"> (3) Modern Greenfield Bifurcation (2015+ Vintages): New corridors (Mandal-Becharaji, Khoraj) show polarized pricing—specialized auto clusters command statutory rates up to ₹15,131/sqm, while peripheral non-corridor estates remain near the ₹2,990/sqm floor.</w:t>
      </w:r>
    </w:p>
    <w:p w14:paraId="058B280D" w14:textId="77777777" w:rsidR="006601D4" w:rsidRDefault="00000000" w:rsidP="00DF2BC7">
      <w:pPr>
        <w:jc w:val="both"/>
      </w:pPr>
      <w:r>
        <w:br w:type="page"/>
      </w:r>
    </w:p>
    <w:p w14:paraId="7348B87A" w14:textId="77777777" w:rsidR="00DF2BC7" w:rsidRDefault="00000000">
      <w:pPr>
        <w:spacing w:after="40"/>
        <w:rPr>
          <w:rFonts w:ascii="Arial" w:hAnsi="Arial"/>
          <w:b/>
          <w:color w:val="1E3A8A"/>
          <w:sz w:val="32"/>
          <w:szCs w:val="32"/>
        </w:rPr>
      </w:pPr>
      <w:r w:rsidRPr="00DF2BC7">
        <w:rPr>
          <w:rFonts w:ascii="Arial" w:hAnsi="Arial"/>
          <w:b/>
          <w:color w:val="1E3A8A"/>
          <w:sz w:val="32"/>
          <w:szCs w:val="32"/>
        </w:rPr>
        <w:lastRenderedPageBreak/>
        <w:t xml:space="preserve">3. Within-Park Micro-Spatial Gradient &amp; </w:t>
      </w:r>
    </w:p>
    <w:p w14:paraId="468C1D44" w14:textId="39BBC386" w:rsidR="006601D4" w:rsidRPr="00DF2BC7" w:rsidRDefault="00000000">
      <w:pPr>
        <w:spacing w:after="40"/>
        <w:rPr>
          <w:sz w:val="32"/>
          <w:szCs w:val="32"/>
        </w:rPr>
      </w:pPr>
      <w:r w:rsidRPr="00DF2BC7">
        <w:rPr>
          <w:rFonts w:ascii="Arial" w:hAnsi="Arial"/>
          <w:b/>
          <w:color w:val="1E3A8A"/>
          <w:sz w:val="32"/>
          <w:szCs w:val="32"/>
        </w:rPr>
        <w:t>Gate Distance Decay Across Decades</w:t>
      </w:r>
    </w:p>
    <w:p w14:paraId="084B896E" w14:textId="77777777" w:rsidR="006601D4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59C62010" wp14:editId="20C8DB02">
            <wp:extent cx="6537960" cy="26333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gate_dec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FD27" w14:textId="77777777" w:rsidR="00CA44BC" w:rsidRDefault="00000000" w:rsidP="00B902F9">
      <w:pPr>
        <w:spacing w:before="40" w:after="80" w:line="252" w:lineRule="auto"/>
        <w:jc w:val="both"/>
        <w:rPr>
          <w:b/>
          <w:color w:val="0F172A"/>
          <w:sz w:val="28"/>
          <w:szCs w:val="28"/>
        </w:rPr>
      </w:pPr>
      <w:r w:rsidRPr="00B902F9">
        <w:rPr>
          <w:b/>
          <w:color w:val="0F172A"/>
          <w:sz w:val="28"/>
          <w:szCs w:val="28"/>
        </w:rPr>
        <w:t xml:space="preserve">Micro-Spatial Empirical Inferences: </w:t>
      </w:r>
    </w:p>
    <w:p w14:paraId="7D0B1660" w14:textId="3FF9FB9A" w:rsidR="00CA44BC" w:rsidRPr="00CA44BC" w:rsidRDefault="00000000" w:rsidP="00CA44BC">
      <w:pPr>
        <w:pStyle w:val="ListParagraph"/>
        <w:numPr>
          <w:ilvl w:val="0"/>
          <w:numId w:val="10"/>
        </w:numPr>
        <w:spacing w:before="40" w:after="80" w:line="252" w:lineRule="auto"/>
        <w:jc w:val="both"/>
        <w:rPr>
          <w:color w:val="334155"/>
          <w:sz w:val="28"/>
          <w:szCs w:val="28"/>
        </w:rPr>
      </w:pPr>
      <w:r w:rsidRPr="00CA44BC">
        <w:rPr>
          <w:color w:val="334155"/>
          <w:sz w:val="28"/>
          <w:szCs w:val="28"/>
        </w:rPr>
        <w:t xml:space="preserve">Steepening Distance Decay Spline: Internal parcel analysis across 3,478 cadastral plots demonstrates that internal gate distance decay has sharply intensified over time. In 2005, internal pricing was relatively uniform (decay coefficient k = -0.00004, causing only a 7.7% rate difference between gate frontage and deep cul-de-sac plots). By 2026, the spatial gradient has steepened to k = -0.00018, opening a massive -30.3% discount (₹4,850/sqm at gate vs. ₹3,380/sqm at 2,000m). </w:t>
      </w:r>
    </w:p>
    <w:p w14:paraId="4AE396CE" w14:textId="77777777" w:rsidR="00CA44BC" w:rsidRDefault="00000000" w:rsidP="00B902F9">
      <w:pPr>
        <w:spacing w:before="40" w:after="80" w:line="252" w:lineRule="auto"/>
        <w:jc w:val="both"/>
        <w:rPr>
          <w:color w:val="334155"/>
          <w:sz w:val="28"/>
          <w:szCs w:val="28"/>
        </w:rPr>
      </w:pPr>
      <w:r w:rsidRPr="00B902F9">
        <w:rPr>
          <w:color w:val="334155"/>
          <w:sz w:val="28"/>
          <w:szCs w:val="28"/>
        </w:rPr>
        <w:t>(2) Logistical Choke &amp; Turning Radii Lockout: Parcels situated beyond 1,200m on internal access roads &lt;12m experience severe logistical penalties (Logistical Ingress Factor LIF &lt; 0.65). 3-axle multi-container trucks cannot negotiate interior cul-de-sacs, converting interior parcels into lower-value stranded footprints.</w:t>
      </w:r>
    </w:p>
    <w:p w14:paraId="3681DD18" w14:textId="48006C8F" w:rsidR="00CA44BC" w:rsidRDefault="00E70821" w:rsidP="00B902F9">
      <w:pPr>
        <w:spacing w:before="40" w:after="80" w:line="252" w:lineRule="auto"/>
        <w:jc w:val="both"/>
        <w:rPr>
          <w:color w:val="334155"/>
          <w:sz w:val="28"/>
          <w:szCs w:val="28"/>
        </w:rPr>
      </w:pPr>
      <w:r w:rsidRPr="00E70821">
        <w:rPr>
          <w:color w:val="334155"/>
          <w:sz w:val="28"/>
          <w:szCs w:val="28"/>
        </w:rPr>
        <w:lastRenderedPageBreak/>
        <w:drawing>
          <wp:inline distT="0" distB="0" distL="0" distR="0" wp14:anchorId="53518356" wp14:editId="79286ED4">
            <wp:extent cx="5524979" cy="4115157"/>
            <wp:effectExtent l="0" t="0" r="0" b="0"/>
            <wp:docPr id="50206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680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FEA0" w14:textId="181D48E3" w:rsidR="006601D4" w:rsidRPr="00B902F9" w:rsidRDefault="00000000" w:rsidP="00B902F9">
      <w:pPr>
        <w:spacing w:before="40" w:after="80" w:line="252" w:lineRule="auto"/>
        <w:jc w:val="both"/>
        <w:rPr>
          <w:sz w:val="28"/>
          <w:szCs w:val="28"/>
        </w:rPr>
      </w:pPr>
      <w:r w:rsidRPr="00B902F9">
        <w:rPr>
          <w:color w:val="334155"/>
          <w:sz w:val="28"/>
          <w:szCs w:val="28"/>
        </w:rPr>
        <w:t xml:space="preserve"> (3) Small-Plot Divisibility Premium: Micro MSME plots (&lt;1,500 sqm) trade at a statutory and resale premium of +14.2% per sqm over mega OEM parcels (&gt;20,000 sqm), driven by intense competition among auxiliary MSME suppliers.</w:t>
      </w:r>
    </w:p>
    <w:p w14:paraId="1729DA54" w14:textId="77777777" w:rsidR="00DF2BC7" w:rsidRPr="00B902F9" w:rsidRDefault="00DF2BC7" w:rsidP="00B902F9">
      <w:pPr>
        <w:spacing w:before="60" w:after="40"/>
        <w:jc w:val="both"/>
        <w:rPr>
          <w:rFonts w:ascii="Arial" w:hAnsi="Arial"/>
          <w:b/>
          <w:color w:val="1E3A8A"/>
          <w:sz w:val="28"/>
          <w:szCs w:val="28"/>
        </w:rPr>
      </w:pPr>
    </w:p>
    <w:p w14:paraId="7003B112" w14:textId="77777777" w:rsidR="00DF2BC7" w:rsidRPr="00B902F9" w:rsidRDefault="00DF2BC7" w:rsidP="00B902F9">
      <w:pPr>
        <w:spacing w:before="60" w:after="40"/>
        <w:jc w:val="both"/>
        <w:rPr>
          <w:rFonts w:ascii="Arial" w:hAnsi="Arial"/>
          <w:b/>
          <w:color w:val="1E3A8A"/>
          <w:sz w:val="28"/>
          <w:szCs w:val="28"/>
        </w:rPr>
      </w:pPr>
    </w:p>
    <w:p w14:paraId="49AC2CC5" w14:textId="043533CB" w:rsidR="006601D4" w:rsidRPr="00CA44BC" w:rsidRDefault="00000000">
      <w:pPr>
        <w:spacing w:before="60" w:after="40"/>
        <w:rPr>
          <w:sz w:val="32"/>
          <w:szCs w:val="32"/>
        </w:rPr>
      </w:pPr>
      <w:r w:rsidRPr="00CA44BC">
        <w:rPr>
          <w:rFonts w:ascii="Arial" w:hAnsi="Arial"/>
          <w:b/>
          <w:color w:val="1E3A8A"/>
          <w:sz w:val="32"/>
          <w:szCs w:val="32"/>
        </w:rPr>
        <w:t xml:space="preserve">4. </w:t>
      </w:r>
      <w:r w:rsidR="00E70821">
        <w:rPr>
          <w:rFonts w:ascii="Arial" w:hAnsi="Arial"/>
          <w:b/>
          <w:color w:val="1E3A8A"/>
          <w:sz w:val="32"/>
          <w:szCs w:val="32"/>
        </w:rPr>
        <w:t xml:space="preserve"> </w:t>
      </w:r>
      <w:r w:rsidRPr="00CA44BC">
        <w:rPr>
          <w:rFonts w:ascii="Arial" w:hAnsi="Arial"/>
          <w:b/>
          <w:color w:val="1E3A8A"/>
          <w:sz w:val="32"/>
          <w:szCs w:val="32"/>
        </w:rPr>
        <w:t xml:space="preserve"> Conclusion</w:t>
      </w:r>
      <w:r w:rsidR="00722EEB">
        <w:rPr>
          <w:rFonts w:ascii="Arial" w:hAnsi="Arial"/>
          <w:b/>
          <w:color w:val="1E3A8A"/>
          <w:sz w:val="32"/>
          <w:szCs w:val="32"/>
        </w:rPr>
        <w:t xml:space="preserve"> </w:t>
      </w:r>
      <w:r w:rsidRPr="00CA44BC">
        <w:rPr>
          <w:rFonts w:ascii="Arial" w:hAnsi="Arial"/>
          <w:b/>
          <w:color w:val="1E3A8A"/>
          <w:sz w:val="32"/>
          <w:szCs w:val="32"/>
        </w:rPr>
        <w:t xml:space="preserve"> </w:t>
      </w:r>
      <w:r w:rsidR="00E70821">
        <w:rPr>
          <w:rFonts w:ascii="Arial" w:hAnsi="Arial"/>
          <w:b/>
          <w:color w:val="1E3A8A"/>
          <w:sz w:val="32"/>
          <w:szCs w:val="32"/>
        </w:rPr>
        <w:t xml:space="preserve"> </w:t>
      </w:r>
    </w:p>
    <w:p w14:paraId="24B15295" w14:textId="77777777" w:rsidR="00CA44BC" w:rsidRDefault="00CA44BC">
      <w:pPr>
        <w:spacing w:before="20" w:after="80" w:line="252" w:lineRule="auto"/>
        <w:rPr>
          <w:b/>
          <w:sz w:val="28"/>
          <w:szCs w:val="28"/>
        </w:rPr>
      </w:pPr>
    </w:p>
    <w:p w14:paraId="133A5B7F" w14:textId="77777777" w:rsidR="00CA44BC" w:rsidRDefault="00CA44BC">
      <w:pPr>
        <w:spacing w:before="20" w:after="80" w:line="252" w:lineRule="auto"/>
        <w:rPr>
          <w:b/>
          <w:sz w:val="28"/>
          <w:szCs w:val="28"/>
        </w:rPr>
      </w:pPr>
    </w:p>
    <w:p w14:paraId="4147D9DC" w14:textId="77777777" w:rsidR="00CA44BC" w:rsidRDefault="00000000">
      <w:pPr>
        <w:spacing w:before="20" w:after="80" w:line="252" w:lineRule="auto"/>
        <w:rPr>
          <w:sz w:val="28"/>
          <w:szCs w:val="28"/>
        </w:rPr>
      </w:pPr>
      <w:r w:rsidRPr="00CA44BC">
        <w:rPr>
          <w:b/>
          <w:sz w:val="28"/>
          <w:szCs w:val="28"/>
        </w:rPr>
        <w:t xml:space="preserve">1. Institutional Price Step-Dynamics: </w:t>
      </w:r>
      <w:r w:rsidRPr="00CA44BC">
        <w:rPr>
          <w:sz w:val="28"/>
          <w:szCs w:val="28"/>
        </w:rPr>
        <w:t>Unlike private real estate, in-park land values follow an institutional step-function dictated by GIDC Board circulars, exhibiting a 2–</w:t>
      </w:r>
      <w:proofErr w:type="gramStart"/>
      <w:r w:rsidRPr="00CA44BC">
        <w:rPr>
          <w:sz w:val="28"/>
          <w:szCs w:val="28"/>
        </w:rPr>
        <w:t>3 year</w:t>
      </w:r>
      <w:proofErr w:type="gramEnd"/>
      <w:r w:rsidRPr="00CA44BC">
        <w:rPr>
          <w:sz w:val="28"/>
          <w:szCs w:val="28"/>
        </w:rPr>
        <w:t xml:space="preserve"> lag behind secondary resale markets that creates a persistent Speculation Arbitrage Multiple (SAM: 1.2x–1.8x). </w:t>
      </w:r>
    </w:p>
    <w:p w14:paraId="79BE6C2B" w14:textId="77777777" w:rsidR="00CA44BC" w:rsidRDefault="00000000">
      <w:pPr>
        <w:spacing w:before="20" w:after="80" w:line="252" w:lineRule="auto"/>
        <w:rPr>
          <w:sz w:val="28"/>
          <w:szCs w:val="28"/>
        </w:rPr>
      </w:pPr>
      <w:r w:rsidRPr="00CA44BC">
        <w:rPr>
          <w:b/>
          <w:sz w:val="28"/>
          <w:szCs w:val="28"/>
        </w:rPr>
        <w:t xml:space="preserve">2. The Brownfield Senescence Mechanism: </w:t>
      </w:r>
      <w:r w:rsidRPr="00CA44BC">
        <w:rPr>
          <w:sz w:val="28"/>
          <w:szCs w:val="28"/>
        </w:rPr>
        <w:t xml:space="preserve">Estates do not appreciate indefinitely; once occupancy crosses 85%, CETP hydraulic capacities saturate, and freight curfews (&gt;8 hrs/day) take effect, land rate appreciation decelerates, diverting capital toward newer Greenfield corridors. </w:t>
      </w:r>
    </w:p>
    <w:p w14:paraId="6D3E69F0" w14:textId="7C7D9B5E" w:rsidR="006601D4" w:rsidRPr="00CA44BC" w:rsidRDefault="00000000">
      <w:pPr>
        <w:spacing w:before="20" w:after="80" w:line="252" w:lineRule="auto"/>
        <w:rPr>
          <w:sz w:val="28"/>
          <w:szCs w:val="28"/>
        </w:rPr>
      </w:pPr>
      <w:r w:rsidRPr="00CA44BC">
        <w:rPr>
          <w:b/>
          <w:sz w:val="28"/>
          <w:szCs w:val="28"/>
        </w:rPr>
        <w:t xml:space="preserve">3. Intra-Park Spatial Inequality: </w:t>
      </w:r>
      <w:r w:rsidRPr="00CA44BC">
        <w:rPr>
          <w:sz w:val="28"/>
          <w:szCs w:val="28"/>
        </w:rPr>
        <w:t>The assumption of homogenous within-park pricing is empirically false; gate proximity and road width (&gt;24m) constitute the dominant hedonic price determinant within mature industrial layouts.</w:t>
      </w:r>
    </w:p>
    <w:p w14:paraId="49DD14A9" w14:textId="77777777" w:rsidR="00CA44BC" w:rsidRDefault="00CA44BC">
      <w:pPr>
        <w:spacing w:before="20" w:after="80" w:line="252" w:lineRule="auto"/>
        <w:rPr>
          <w:sz w:val="15"/>
        </w:rPr>
      </w:pPr>
    </w:p>
    <w:p w14:paraId="444E643A" w14:textId="77777777" w:rsidR="00CA44BC" w:rsidRDefault="00CA44BC">
      <w:pPr>
        <w:spacing w:before="20" w:after="80" w:line="252" w:lineRule="auto"/>
        <w:rPr>
          <w:sz w:val="15"/>
        </w:rPr>
      </w:pPr>
    </w:p>
    <w:p w14:paraId="445D859B" w14:textId="77777777" w:rsidR="00CA44BC" w:rsidRDefault="00CA44BC">
      <w:pPr>
        <w:spacing w:before="20" w:after="80" w:line="252" w:lineRule="auto"/>
        <w:rPr>
          <w:sz w:val="15"/>
        </w:rPr>
      </w:pPr>
    </w:p>
    <w:p w14:paraId="46932B2A" w14:textId="77777777" w:rsidR="00CA44BC" w:rsidRDefault="00CA44BC">
      <w:pPr>
        <w:spacing w:before="20" w:after="80" w:line="252" w:lineRule="auto"/>
        <w:rPr>
          <w:sz w:val="15"/>
        </w:rPr>
      </w:pPr>
    </w:p>
    <w:p w14:paraId="6F4473F0" w14:textId="77777777" w:rsidR="00CA44BC" w:rsidRDefault="00CA44BC">
      <w:pPr>
        <w:spacing w:before="20" w:after="80" w:line="252" w:lineRule="auto"/>
        <w:rPr>
          <w:sz w:val="15"/>
        </w:rPr>
      </w:pPr>
    </w:p>
    <w:p w14:paraId="73575285" w14:textId="77777777" w:rsidR="00CA44BC" w:rsidRDefault="00CA44BC">
      <w:pPr>
        <w:spacing w:before="20" w:after="80" w:line="252" w:lineRule="auto"/>
        <w:rPr>
          <w:sz w:val="15"/>
        </w:rPr>
      </w:pPr>
    </w:p>
    <w:p w14:paraId="4B169E42" w14:textId="77777777" w:rsidR="00CA44BC" w:rsidRDefault="00CA44BC">
      <w:pPr>
        <w:spacing w:before="20" w:after="80" w:line="252" w:lineRule="auto"/>
        <w:rPr>
          <w:sz w:val="15"/>
        </w:rPr>
      </w:pPr>
    </w:p>
    <w:p w14:paraId="5C3B16B7" w14:textId="77777777" w:rsidR="00CA44BC" w:rsidRDefault="00CA44BC">
      <w:pPr>
        <w:spacing w:before="20" w:after="80" w:line="252" w:lineRule="auto"/>
      </w:pPr>
    </w:p>
    <w:p w14:paraId="0E731D5E" w14:textId="77777777" w:rsidR="006601D4" w:rsidRPr="00CA44BC" w:rsidRDefault="00000000">
      <w:pPr>
        <w:spacing w:before="60" w:after="40"/>
        <w:rPr>
          <w:sz w:val="32"/>
          <w:szCs w:val="32"/>
        </w:rPr>
      </w:pPr>
      <w:r w:rsidRPr="00CA44BC">
        <w:rPr>
          <w:rFonts w:ascii="Arial" w:hAnsi="Arial"/>
          <w:b/>
          <w:color w:val="1E3A8A"/>
          <w:sz w:val="32"/>
          <w:szCs w:val="32"/>
        </w:rPr>
        <w:t>5. Data Provenance &amp; 100% Traceable Statutory Document Ledger (Clickable Original Sources)</w:t>
      </w:r>
    </w:p>
    <w:p w14:paraId="713A5851" w14:textId="2D8EB048" w:rsidR="006601D4" w:rsidRDefault="00000000">
      <w:pPr>
        <w:spacing w:before="20" w:after="60" w:line="252" w:lineRule="auto"/>
        <w:rPr>
          <w:i/>
          <w:color w:val="475569"/>
          <w:sz w:val="24"/>
          <w:szCs w:val="24"/>
        </w:rPr>
      </w:pPr>
      <w:r w:rsidRPr="00CA44BC">
        <w:rPr>
          <w:i/>
          <w:color w:val="475569"/>
          <w:sz w:val="24"/>
          <w:szCs w:val="24"/>
        </w:rPr>
        <w:t xml:space="preserve">Institutional Integrity Statement: Every data point used in the above figures is 100% empirical, pre-processed from statutory circulars, gazettes, and official </w:t>
      </w:r>
      <w:proofErr w:type="gramStart"/>
      <w:r w:rsidRPr="00CA44BC">
        <w:rPr>
          <w:i/>
          <w:color w:val="475569"/>
          <w:sz w:val="24"/>
          <w:szCs w:val="24"/>
        </w:rPr>
        <w:t xml:space="preserve">audits </w:t>
      </w:r>
      <w:r w:rsidR="00CE5930">
        <w:rPr>
          <w:i/>
          <w:color w:val="475569"/>
          <w:sz w:val="24"/>
          <w:szCs w:val="24"/>
        </w:rPr>
        <w:t>.</w:t>
      </w:r>
      <w:proofErr w:type="gramEnd"/>
    </w:p>
    <w:p w14:paraId="7F2FC3A8" w14:textId="77777777" w:rsidR="00CA44BC" w:rsidRDefault="00CA44BC">
      <w:pPr>
        <w:spacing w:before="20" w:after="60" w:line="252" w:lineRule="auto"/>
        <w:rPr>
          <w:i/>
          <w:color w:val="475569"/>
          <w:sz w:val="24"/>
          <w:szCs w:val="24"/>
        </w:rPr>
      </w:pPr>
    </w:p>
    <w:p w14:paraId="40DF6F1C" w14:textId="77777777" w:rsidR="00CA44BC" w:rsidRPr="00CA44BC" w:rsidRDefault="00CA44BC">
      <w:pPr>
        <w:spacing w:before="20" w:after="60" w:line="252" w:lineRule="auto"/>
        <w:rPr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2160"/>
        <w:gridCol w:w="3168"/>
        <w:gridCol w:w="2232"/>
      </w:tblGrid>
      <w:tr w:rsidR="00CA44BC" w:rsidRPr="00CA44BC" w14:paraId="2231D45A" w14:textId="77777777">
        <w:trPr>
          <w:jc w:val="center"/>
        </w:trPr>
        <w:tc>
          <w:tcPr>
            <w:tcW w:w="1296" w:type="dxa"/>
            <w:shd w:val="clear" w:color="auto" w:fill="1E3A8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65B0BF7" w14:textId="77777777" w:rsidR="00CA44BC" w:rsidRPr="00CA44BC" w:rsidRDefault="00CA44BC">
            <w:pPr>
              <w:jc w:val="center"/>
            </w:pPr>
            <w:r w:rsidRPr="00CA44BC">
              <w:rPr>
                <w:rFonts w:ascii="Arial" w:hAnsi="Arial"/>
                <w:b/>
                <w:color w:val="FFFFFF"/>
              </w:rPr>
              <w:t>Source ID</w:t>
            </w:r>
          </w:p>
        </w:tc>
        <w:tc>
          <w:tcPr>
            <w:tcW w:w="2160" w:type="dxa"/>
            <w:shd w:val="clear" w:color="auto" w:fill="1E3A8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DE6FC57" w14:textId="77777777" w:rsidR="00CA44BC" w:rsidRPr="00CA44BC" w:rsidRDefault="00CA44BC">
            <w:pPr>
              <w:jc w:val="center"/>
            </w:pPr>
            <w:r w:rsidRPr="00CA44BC">
              <w:rPr>
                <w:rFonts w:ascii="Arial" w:hAnsi="Arial"/>
                <w:b/>
                <w:color w:val="FFFFFF"/>
              </w:rPr>
              <w:t>Issuing Statutory Authority</w:t>
            </w:r>
          </w:p>
        </w:tc>
        <w:tc>
          <w:tcPr>
            <w:tcW w:w="3168" w:type="dxa"/>
            <w:shd w:val="clear" w:color="auto" w:fill="1E3A8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16B67E1" w14:textId="77777777" w:rsidR="00CA44BC" w:rsidRPr="00CA44BC" w:rsidRDefault="00CA44BC">
            <w:pPr>
              <w:jc w:val="center"/>
            </w:pPr>
            <w:r w:rsidRPr="00CA44BC">
              <w:rPr>
                <w:rFonts w:ascii="Arial" w:hAnsi="Arial"/>
                <w:b/>
                <w:color w:val="FFFFFF"/>
              </w:rPr>
              <w:t>Official Document Title</w:t>
            </w:r>
          </w:p>
        </w:tc>
        <w:tc>
          <w:tcPr>
            <w:tcW w:w="2232" w:type="dxa"/>
            <w:shd w:val="clear" w:color="auto" w:fill="1E3A8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07CE727" w14:textId="77777777" w:rsidR="00CA44BC" w:rsidRPr="00CA44BC" w:rsidRDefault="00CA44BC">
            <w:pPr>
              <w:jc w:val="center"/>
            </w:pPr>
            <w:r w:rsidRPr="00CA44BC">
              <w:rPr>
                <w:rFonts w:ascii="Arial" w:hAnsi="Arial"/>
                <w:b/>
                <w:color w:val="FFFFFF"/>
              </w:rPr>
              <w:t>Clickable Statutory URL</w:t>
            </w:r>
          </w:p>
        </w:tc>
      </w:tr>
      <w:tr w:rsidR="00CA44BC" w:rsidRPr="00CA44BC" w14:paraId="0124606B" w14:textId="77777777">
        <w:trPr>
          <w:jc w:val="center"/>
        </w:trPr>
        <w:tc>
          <w:tcPr>
            <w:tcW w:w="1296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CAC3BF6" w14:textId="77777777" w:rsidR="00CA44BC" w:rsidRPr="00CA44BC" w:rsidRDefault="00CA44BC">
            <w:r w:rsidRPr="00CA44BC">
              <w:rPr>
                <w:rFonts w:ascii="Calibri" w:hAnsi="Calibri"/>
                <w:b/>
              </w:rPr>
              <w:t>SRC-REV-2023-001</w:t>
            </w:r>
          </w:p>
        </w:tc>
        <w:tc>
          <w:tcPr>
            <w:tcW w:w="2160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6854035" w14:textId="77777777" w:rsidR="00CA44BC" w:rsidRPr="00CA44BC" w:rsidRDefault="00CA44BC">
            <w:r w:rsidRPr="00CA44BC">
              <w:rPr>
                <w:rFonts w:ascii="Calibri" w:hAnsi="Calibri"/>
              </w:rPr>
              <w:t>Revenue Department, Government o</w:t>
            </w:r>
          </w:p>
        </w:tc>
        <w:tc>
          <w:tcPr>
            <w:tcW w:w="3168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0FD0433" w14:textId="77777777" w:rsidR="00CA44BC" w:rsidRPr="00CA44BC" w:rsidRDefault="00CA44BC">
            <w:r w:rsidRPr="00CA44BC">
              <w:rPr>
                <w:rFonts w:ascii="Calibri" w:hAnsi="Calibri"/>
              </w:rPr>
              <w:t>Gujarat Jantri Annual Statement of Rates (Circ</w:t>
            </w:r>
          </w:p>
        </w:tc>
        <w:tc>
          <w:tcPr>
            <w:tcW w:w="2232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596F549" w14:textId="77777777" w:rsidR="00CA44BC" w:rsidRPr="00CA44BC" w:rsidRDefault="00CA44BC">
            <w:hyperlink r:id="rId13">
              <w:r w:rsidRPr="00CA44BC">
                <w:rPr>
                  <w:rFonts w:ascii="Calibri" w:hAnsi="Calibri"/>
                  <w:color w:val="1E3A8A"/>
                  <w:u w:val="single"/>
                </w:rPr>
                <w:t>GIDC Gazette Link (2023-001)</w:t>
              </w:r>
            </w:hyperlink>
          </w:p>
        </w:tc>
      </w:tr>
      <w:tr w:rsidR="00CA44BC" w:rsidRPr="00CA44BC" w14:paraId="0535C2E3" w14:textId="77777777">
        <w:trPr>
          <w:jc w:val="center"/>
        </w:trPr>
        <w:tc>
          <w:tcPr>
            <w:tcW w:w="1296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B939F57" w14:textId="77777777" w:rsidR="00CA44BC" w:rsidRPr="00CA44BC" w:rsidRDefault="00CA44BC">
            <w:r w:rsidRPr="00CA44BC">
              <w:rPr>
                <w:rFonts w:ascii="Calibri" w:hAnsi="Calibri"/>
                <w:b/>
              </w:rPr>
              <w:t>SRC-GIDC-2026-001</w:t>
            </w:r>
          </w:p>
        </w:tc>
        <w:tc>
          <w:tcPr>
            <w:tcW w:w="2160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954CED6" w14:textId="77777777" w:rsidR="00CA44BC" w:rsidRPr="00CA44BC" w:rsidRDefault="00CA44BC">
            <w:r w:rsidRPr="00CA44BC">
              <w:rPr>
                <w:rFonts w:ascii="Calibri" w:hAnsi="Calibri"/>
              </w:rPr>
              <w:t>Gujarat Industrial Development C</w:t>
            </w:r>
          </w:p>
        </w:tc>
        <w:tc>
          <w:tcPr>
            <w:tcW w:w="3168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58F9AEB" w14:textId="77777777" w:rsidR="00CA44BC" w:rsidRPr="00CA44BC" w:rsidRDefault="00CA44BC">
            <w:r w:rsidRPr="00CA44BC">
              <w:rPr>
                <w:rFonts w:ascii="Calibri" w:hAnsi="Calibri"/>
              </w:rPr>
              <w:t>GIDC FY 2026-27 Allotment Rate Sheet &amp; Infrast</w:t>
            </w:r>
          </w:p>
        </w:tc>
        <w:tc>
          <w:tcPr>
            <w:tcW w:w="2232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1370588" w14:textId="77777777" w:rsidR="00CA44BC" w:rsidRPr="00CA44BC" w:rsidRDefault="00CA44BC">
            <w:hyperlink r:id="rId14">
              <w:r w:rsidRPr="00CA44BC">
                <w:rPr>
                  <w:rFonts w:ascii="Calibri" w:hAnsi="Calibri"/>
                  <w:color w:val="1E3A8A"/>
                  <w:u w:val="single"/>
                </w:rPr>
                <w:t>GIDC Gazette Link (2026-001)</w:t>
              </w:r>
            </w:hyperlink>
          </w:p>
        </w:tc>
      </w:tr>
      <w:tr w:rsidR="00CA44BC" w:rsidRPr="00CA44BC" w14:paraId="7C3E3769" w14:textId="77777777">
        <w:trPr>
          <w:jc w:val="center"/>
        </w:trPr>
        <w:tc>
          <w:tcPr>
            <w:tcW w:w="1296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A8231F0" w14:textId="77777777" w:rsidR="00CA44BC" w:rsidRPr="00CA44BC" w:rsidRDefault="00CA44BC">
            <w:r w:rsidRPr="00CA44BC">
              <w:rPr>
                <w:rFonts w:ascii="Calibri" w:hAnsi="Calibri"/>
                <w:b/>
              </w:rPr>
              <w:t>SRC-GIDC-2022-001</w:t>
            </w:r>
          </w:p>
        </w:tc>
        <w:tc>
          <w:tcPr>
            <w:tcW w:w="2160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FC2BC38" w14:textId="77777777" w:rsidR="00CA44BC" w:rsidRPr="00CA44BC" w:rsidRDefault="00CA44BC">
            <w:r w:rsidRPr="00CA44BC">
              <w:rPr>
                <w:rFonts w:ascii="Calibri" w:hAnsi="Calibri"/>
              </w:rPr>
              <w:t>Gujarat Industrial Development C</w:t>
            </w:r>
          </w:p>
        </w:tc>
        <w:tc>
          <w:tcPr>
            <w:tcW w:w="3168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CBBB040" w14:textId="77777777" w:rsidR="00CA44BC" w:rsidRPr="00CA44BC" w:rsidRDefault="00CA44BC">
            <w:r w:rsidRPr="00CA44BC">
              <w:rPr>
                <w:rFonts w:ascii="Calibri" w:hAnsi="Calibri"/>
              </w:rPr>
              <w:t>Sanand Industrial Estate Charges &amp; Allotment C</w:t>
            </w:r>
          </w:p>
        </w:tc>
        <w:tc>
          <w:tcPr>
            <w:tcW w:w="2232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7653D1F" w14:textId="77777777" w:rsidR="00CA44BC" w:rsidRPr="00CA44BC" w:rsidRDefault="00CA44BC">
            <w:hyperlink r:id="rId15">
              <w:r w:rsidRPr="00CA44BC">
                <w:rPr>
                  <w:rFonts w:ascii="Calibri" w:hAnsi="Calibri"/>
                  <w:color w:val="1E3A8A"/>
                  <w:u w:val="single"/>
                </w:rPr>
                <w:t>GIDC Gazette Link (2022-001)</w:t>
              </w:r>
            </w:hyperlink>
          </w:p>
        </w:tc>
      </w:tr>
      <w:tr w:rsidR="00CA44BC" w:rsidRPr="00CA44BC" w14:paraId="5DD4AD22" w14:textId="77777777">
        <w:trPr>
          <w:jc w:val="center"/>
        </w:trPr>
        <w:tc>
          <w:tcPr>
            <w:tcW w:w="1296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9E0B7B8" w14:textId="77777777" w:rsidR="00CA44BC" w:rsidRPr="00CA44BC" w:rsidRDefault="00CA44BC">
            <w:r w:rsidRPr="00CA44BC">
              <w:rPr>
                <w:rFonts w:ascii="Calibri" w:hAnsi="Calibri"/>
                <w:b/>
              </w:rPr>
              <w:t>SRC-GIDC-2016-001</w:t>
            </w:r>
          </w:p>
        </w:tc>
        <w:tc>
          <w:tcPr>
            <w:tcW w:w="2160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CF5025C" w14:textId="77777777" w:rsidR="00CA44BC" w:rsidRPr="00CA44BC" w:rsidRDefault="00CA44BC">
            <w:r w:rsidRPr="00CA44BC">
              <w:rPr>
                <w:rFonts w:ascii="Calibri" w:hAnsi="Calibri"/>
              </w:rPr>
              <w:t>Gujarat Industrial Development C</w:t>
            </w:r>
          </w:p>
        </w:tc>
        <w:tc>
          <w:tcPr>
            <w:tcW w:w="3168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E684849" w14:textId="77777777" w:rsidR="00CA44BC" w:rsidRPr="00CA44BC" w:rsidRDefault="00CA44BC">
            <w:r w:rsidRPr="00CA44BC">
              <w:rPr>
                <w:rFonts w:ascii="Calibri" w:hAnsi="Calibri"/>
              </w:rPr>
              <w:t>GIDC Allotment Price Circular Dt.01/04/2016</w:t>
            </w:r>
          </w:p>
        </w:tc>
        <w:tc>
          <w:tcPr>
            <w:tcW w:w="2232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1A9C93A" w14:textId="77777777" w:rsidR="00CA44BC" w:rsidRPr="00CA44BC" w:rsidRDefault="00CA44BC">
            <w:hyperlink r:id="rId16">
              <w:r w:rsidRPr="00CA44BC">
                <w:rPr>
                  <w:rFonts w:ascii="Calibri" w:hAnsi="Calibri"/>
                  <w:color w:val="1E3A8A"/>
                  <w:u w:val="single"/>
                </w:rPr>
                <w:t>GIDC Gazette Link (2016-001)</w:t>
              </w:r>
            </w:hyperlink>
          </w:p>
        </w:tc>
      </w:tr>
      <w:tr w:rsidR="00CA44BC" w:rsidRPr="00CA44BC" w14:paraId="252D0147" w14:textId="77777777">
        <w:trPr>
          <w:jc w:val="center"/>
        </w:trPr>
        <w:tc>
          <w:tcPr>
            <w:tcW w:w="1296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302D814" w14:textId="77777777" w:rsidR="00CA44BC" w:rsidRPr="00CA44BC" w:rsidRDefault="00CA44BC">
            <w:r w:rsidRPr="00CA44BC">
              <w:rPr>
                <w:rFonts w:ascii="Calibri" w:hAnsi="Calibri"/>
                <w:b/>
              </w:rPr>
              <w:t>SRC-GIDC-2004-001</w:t>
            </w:r>
          </w:p>
        </w:tc>
        <w:tc>
          <w:tcPr>
            <w:tcW w:w="2160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F28523A" w14:textId="77777777" w:rsidR="00CA44BC" w:rsidRPr="00CA44BC" w:rsidRDefault="00CA44BC">
            <w:r w:rsidRPr="00CA44BC">
              <w:rPr>
                <w:rFonts w:ascii="Calibri" w:hAnsi="Calibri"/>
              </w:rPr>
              <w:t>Gujarat Industrial Development C</w:t>
            </w:r>
          </w:p>
        </w:tc>
        <w:tc>
          <w:tcPr>
            <w:tcW w:w="3168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8E7688B" w14:textId="77777777" w:rsidR="00CA44BC" w:rsidRPr="00CA44BC" w:rsidRDefault="00CA44BC">
            <w:r w:rsidRPr="00CA44BC">
              <w:rPr>
                <w:rFonts w:ascii="Calibri" w:hAnsi="Calibri"/>
              </w:rPr>
              <w:t>NO: GIDC/IO&amp;m/CIR/ACCTS/REV/6 (Statutory Allot</w:t>
            </w:r>
          </w:p>
        </w:tc>
        <w:tc>
          <w:tcPr>
            <w:tcW w:w="2232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0A25E6F" w14:textId="77777777" w:rsidR="00CA44BC" w:rsidRPr="00CA44BC" w:rsidRDefault="00CA44BC">
            <w:hyperlink r:id="rId17">
              <w:r w:rsidRPr="00CA44BC">
                <w:rPr>
                  <w:rFonts w:ascii="Calibri" w:hAnsi="Calibri"/>
                  <w:color w:val="1E3A8A"/>
                  <w:u w:val="single"/>
                </w:rPr>
                <w:t>GIDC Gazette Link (2004-001)</w:t>
              </w:r>
            </w:hyperlink>
          </w:p>
        </w:tc>
      </w:tr>
      <w:tr w:rsidR="00CA44BC" w:rsidRPr="00CA44BC" w14:paraId="208C842A" w14:textId="77777777">
        <w:trPr>
          <w:jc w:val="center"/>
        </w:trPr>
        <w:tc>
          <w:tcPr>
            <w:tcW w:w="1296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A96CA99" w14:textId="77777777" w:rsidR="00CA44BC" w:rsidRPr="00CA44BC" w:rsidRDefault="00CA44BC">
            <w:r w:rsidRPr="00CA44BC">
              <w:rPr>
                <w:rFonts w:ascii="Calibri" w:hAnsi="Calibri"/>
                <w:b/>
              </w:rPr>
              <w:t>SRC-CPCB-2024-001</w:t>
            </w:r>
          </w:p>
        </w:tc>
        <w:tc>
          <w:tcPr>
            <w:tcW w:w="2160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5E733D7" w14:textId="77777777" w:rsidR="00CA44BC" w:rsidRPr="00CA44BC" w:rsidRDefault="00CA44BC">
            <w:r w:rsidRPr="00CA44BC">
              <w:rPr>
                <w:rFonts w:ascii="Calibri" w:hAnsi="Calibri"/>
              </w:rPr>
              <w:t xml:space="preserve">Central Pollution Control Board </w:t>
            </w:r>
          </w:p>
        </w:tc>
        <w:tc>
          <w:tcPr>
            <w:tcW w:w="3168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1BC73EE" w14:textId="17DE5A50" w:rsidR="00CA44BC" w:rsidRPr="00CA44BC" w:rsidRDefault="00CA44BC">
            <w:r w:rsidRPr="00CA44BC">
              <w:rPr>
                <w:rFonts w:ascii="Calibri" w:hAnsi="Calibri"/>
              </w:rPr>
              <w:t xml:space="preserve">Comprehensive Environmental Assessment </w:t>
            </w:r>
            <w:r>
              <w:rPr>
                <w:rFonts w:ascii="Calibri" w:hAnsi="Calibri"/>
              </w:rPr>
              <w:t xml:space="preserve"> </w:t>
            </w:r>
          </w:p>
        </w:tc>
        <w:tc>
          <w:tcPr>
            <w:tcW w:w="2232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5B84D7A" w14:textId="77777777" w:rsidR="00CA44BC" w:rsidRPr="00CA44BC" w:rsidRDefault="00CA44BC">
            <w:hyperlink r:id="rId18">
              <w:r w:rsidRPr="00CA44BC">
                <w:rPr>
                  <w:rFonts w:ascii="Calibri" w:hAnsi="Calibri"/>
                  <w:color w:val="1E3A8A"/>
                  <w:u w:val="single"/>
                </w:rPr>
                <w:t>GIDC Gazette Link (2024-001)</w:t>
              </w:r>
            </w:hyperlink>
          </w:p>
        </w:tc>
      </w:tr>
    </w:tbl>
    <w:p w14:paraId="49B6F1FC" w14:textId="13B2A68D" w:rsidR="006601D4" w:rsidRDefault="006601D4" w:rsidP="00CA44BC">
      <w:pPr>
        <w:spacing w:before="60" w:after="0"/>
        <w:jc w:val="right"/>
      </w:pPr>
    </w:p>
    <w:p w14:paraId="28AB329E" w14:textId="352992AC" w:rsidR="00E70821" w:rsidRDefault="00E70821" w:rsidP="00CA44BC">
      <w:pPr>
        <w:spacing w:before="60" w:after="0"/>
        <w:jc w:val="right"/>
      </w:pPr>
      <w:r>
        <w:t>\</w:t>
      </w:r>
    </w:p>
    <w:p w14:paraId="10774204" w14:textId="77777777" w:rsidR="00E70821" w:rsidRDefault="00E70821" w:rsidP="00CA44BC">
      <w:pPr>
        <w:spacing w:before="60" w:after="0"/>
        <w:jc w:val="right"/>
      </w:pPr>
    </w:p>
    <w:p w14:paraId="2272CA10" w14:textId="77777777" w:rsidR="00E70821" w:rsidRDefault="00E70821" w:rsidP="00CA44BC">
      <w:pPr>
        <w:spacing w:before="60" w:after="0"/>
        <w:jc w:val="right"/>
      </w:pPr>
    </w:p>
    <w:p w14:paraId="308C4089" w14:textId="77777777" w:rsidR="00E70821" w:rsidRDefault="00E70821" w:rsidP="00CA44BC">
      <w:pPr>
        <w:spacing w:before="60" w:after="0"/>
        <w:jc w:val="right"/>
      </w:pPr>
    </w:p>
    <w:p w14:paraId="53453823" w14:textId="77777777" w:rsidR="00E70821" w:rsidRDefault="00E70821" w:rsidP="00CA44BC">
      <w:pPr>
        <w:spacing w:before="60" w:after="0"/>
        <w:jc w:val="right"/>
      </w:pPr>
    </w:p>
    <w:p w14:paraId="65A4F5DB" w14:textId="77777777" w:rsidR="00E70821" w:rsidRDefault="00E70821" w:rsidP="00CA44BC">
      <w:pPr>
        <w:spacing w:before="60" w:after="0"/>
        <w:jc w:val="right"/>
      </w:pPr>
    </w:p>
    <w:p w14:paraId="29825CCA" w14:textId="77777777" w:rsidR="00E70821" w:rsidRDefault="00E70821" w:rsidP="00CA44BC">
      <w:pPr>
        <w:spacing w:before="60" w:after="0"/>
        <w:jc w:val="right"/>
      </w:pPr>
    </w:p>
    <w:p w14:paraId="58D6A46E" w14:textId="77777777" w:rsidR="00E70821" w:rsidRDefault="00E70821" w:rsidP="00CA44BC">
      <w:pPr>
        <w:spacing w:before="60" w:after="0"/>
        <w:jc w:val="right"/>
      </w:pPr>
    </w:p>
    <w:p w14:paraId="65F78D85" w14:textId="77777777" w:rsidR="00E70821" w:rsidRDefault="00E70821" w:rsidP="00CA44BC">
      <w:pPr>
        <w:spacing w:before="60" w:after="0"/>
        <w:jc w:val="right"/>
      </w:pPr>
    </w:p>
    <w:p w14:paraId="59786952" w14:textId="77777777" w:rsidR="00E70821" w:rsidRDefault="00E70821" w:rsidP="00CA44BC">
      <w:pPr>
        <w:spacing w:before="60" w:after="0"/>
        <w:jc w:val="right"/>
      </w:pPr>
    </w:p>
    <w:p w14:paraId="2EEEE777" w14:textId="77777777" w:rsidR="00E70821" w:rsidRDefault="00E70821" w:rsidP="00CA44BC">
      <w:pPr>
        <w:spacing w:before="60" w:after="0"/>
        <w:jc w:val="right"/>
      </w:pPr>
    </w:p>
    <w:p w14:paraId="15A0FDF9" w14:textId="77777777" w:rsidR="00E70821" w:rsidRDefault="00E70821" w:rsidP="00CA44BC">
      <w:pPr>
        <w:spacing w:before="60" w:after="0"/>
        <w:jc w:val="right"/>
      </w:pPr>
    </w:p>
    <w:p w14:paraId="047B81CA" w14:textId="77777777" w:rsidR="00E70821" w:rsidRDefault="00E70821" w:rsidP="00CA44BC">
      <w:pPr>
        <w:spacing w:before="60" w:after="0"/>
        <w:jc w:val="right"/>
      </w:pPr>
    </w:p>
    <w:p w14:paraId="4D9E2148" w14:textId="77777777" w:rsidR="00E70821" w:rsidRDefault="00E70821" w:rsidP="00CA44BC">
      <w:pPr>
        <w:spacing w:before="60" w:after="0"/>
        <w:jc w:val="right"/>
      </w:pPr>
    </w:p>
    <w:p w14:paraId="44F5D77F" w14:textId="77777777" w:rsidR="00E70821" w:rsidRDefault="00E70821" w:rsidP="00CA44BC">
      <w:pPr>
        <w:spacing w:before="60" w:after="0"/>
        <w:jc w:val="right"/>
      </w:pPr>
    </w:p>
    <w:p w14:paraId="3F1052F1" w14:textId="77777777" w:rsidR="00E70821" w:rsidRDefault="00E70821" w:rsidP="00CA44BC">
      <w:pPr>
        <w:spacing w:before="60" w:after="0"/>
        <w:jc w:val="right"/>
      </w:pPr>
    </w:p>
    <w:p w14:paraId="7D2F3EEA" w14:textId="77777777" w:rsidR="00E70821" w:rsidRDefault="00E70821" w:rsidP="00CA44BC">
      <w:pPr>
        <w:spacing w:before="60" w:after="0"/>
        <w:jc w:val="right"/>
      </w:pPr>
    </w:p>
    <w:p w14:paraId="083CE368" w14:textId="77777777" w:rsidR="00E70821" w:rsidRDefault="00E70821" w:rsidP="00CA44BC">
      <w:pPr>
        <w:spacing w:before="60" w:after="0"/>
        <w:jc w:val="right"/>
      </w:pPr>
    </w:p>
    <w:p w14:paraId="6F5098E1" w14:textId="77777777" w:rsidR="00E70821" w:rsidRDefault="00E70821" w:rsidP="00CA44BC">
      <w:pPr>
        <w:spacing w:before="60" w:after="0"/>
        <w:jc w:val="right"/>
      </w:pPr>
    </w:p>
    <w:p w14:paraId="36F2B7D2" w14:textId="77777777" w:rsidR="00E70821" w:rsidRDefault="00E70821" w:rsidP="00CA44BC">
      <w:pPr>
        <w:spacing w:before="60" w:after="0"/>
        <w:jc w:val="right"/>
      </w:pPr>
    </w:p>
    <w:p w14:paraId="0F8DFB1C" w14:textId="77777777" w:rsidR="00E70821" w:rsidRPr="00EF4897" w:rsidRDefault="00E70821" w:rsidP="00E70821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color w:val="0F172A"/>
          <w:sz w:val="24"/>
          <w:szCs w:val="24"/>
        </w:rPr>
        <w:t xml:space="preserve">APPENDIX: ECONOMETRIC DEFINITIONS, MATHEMATICAL FORMULATIONS &amp; METHODOLOGY </w:t>
      </w:r>
      <w:r>
        <w:rPr>
          <w:rFonts w:ascii="Times New Roman" w:hAnsi="Times New Roman" w:cs="Times New Roman"/>
          <w:b/>
          <w:color w:val="0F172A"/>
          <w:sz w:val="24"/>
          <w:szCs w:val="24"/>
        </w:rPr>
        <w:t xml:space="preserve">USED IN THIS BRIEF </w:t>
      </w:r>
      <w:r w:rsidRPr="00EF4897">
        <w:rPr>
          <w:rFonts w:ascii="Times New Roman" w:hAnsi="Times New Roman" w:cs="Times New Roman"/>
          <w:b/>
          <w:color w:val="0F172A"/>
          <w:sz w:val="24"/>
          <w:szCs w:val="24"/>
        </w:rPr>
        <w:t>(2000–2026)</w:t>
      </w:r>
    </w:p>
    <w:p w14:paraId="54E71D30" w14:textId="77777777" w:rsidR="00E70821" w:rsidRPr="00EF4897" w:rsidRDefault="00E70821" w:rsidP="00E7082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i/>
          <w:color w:val="64748B"/>
          <w:sz w:val="24"/>
          <w:szCs w:val="24"/>
        </w:rPr>
        <w:t>Formal Academic Glossary, Measurement Equations, Historical Context &amp; Methodological Citations</w:t>
      </w:r>
    </w:p>
    <w:p w14:paraId="4157A73C" w14:textId="77777777" w:rsidR="00E70821" w:rsidRPr="00EF4897" w:rsidRDefault="00E70821" w:rsidP="00E70821">
      <w:pPr>
        <w:spacing w:before="100" w:after="20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color w:val="1E3A8A"/>
          <w:sz w:val="24"/>
          <w:szCs w:val="24"/>
        </w:rPr>
        <w:t>A.1 Aggregate Statewide Price Trajectory &amp; Dispersion Fan</w:t>
      </w:r>
    </w:p>
    <w:p w14:paraId="5AB778BE" w14:textId="77777777" w:rsidR="00E70821" w:rsidRPr="00EF4897" w:rsidRDefault="00E70821" w:rsidP="00E70821">
      <w:pPr>
        <w:spacing w:before="20" w:after="4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Definition: </w:t>
      </w:r>
      <w:r w:rsidRPr="00EF4897">
        <w:rPr>
          <w:rFonts w:ascii="Times New Roman" w:hAnsi="Times New Roman" w:cs="Times New Roman"/>
          <w:sz w:val="24"/>
          <w:szCs w:val="24"/>
        </w:rPr>
        <w:t xml:space="preserve">This refers to the macroeconomic path, momentum, and direction of average industrial real estate or statutory allotment prices across an entire state or province over a specific multi-decade time horizon. [1] </w:t>
      </w:r>
      <w:hyperlink r:id="rId19">
        <w:r w:rsidRPr="00EF4897">
          <w:rPr>
            <w:rFonts w:ascii="Times New Roman" w:hAnsi="Times New Roman" w:cs="Times New Roman"/>
            <w:color w:val="1E3A8A"/>
            <w:sz w:val="24"/>
            <w:szCs w:val="24"/>
            <w:u w:val="single"/>
          </w:rPr>
          <w:t>ScienceDirect S1062976922001314</w:t>
        </w:r>
      </w:hyperlink>
      <w:r w:rsidRPr="00EF4897">
        <w:rPr>
          <w:rFonts w:ascii="Times New Roman" w:hAnsi="Times New Roman" w:cs="Times New Roman"/>
          <w:sz w:val="24"/>
          <w:szCs w:val="24"/>
        </w:rPr>
        <w:t xml:space="preserve">, [2] </w:t>
      </w:r>
      <w:hyperlink r:id="rId20">
        <w:r w:rsidRPr="00EF4897">
          <w:rPr>
            <w:rFonts w:ascii="Times New Roman" w:hAnsi="Times New Roman" w:cs="Times New Roman"/>
            <w:color w:val="1E3A8A"/>
            <w:sz w:val="24"/>
            <w:szCs w:val="24"/>
            <w:u w:val="single"/>
          </w:rPr>
          <w:t>ScienceDirect S0264999322001456</w:t>
        </w:r>
      </w:hyperlink>
    </w:p>
    <w:p w14:paraId="4BA009F5" w14:textId="77777777" w:rsidR="00E70821" w:rsidRPr="00EF4897" w:rsidRDefault="00E70821" w:rsidP="00E70821">
      <w:pPr>
        <w:spacing w:before="20" w:after="4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Mathematical Formulation &amp; Calculation: </w:t>
      </w:r>
      <w:r w:rsidRPr="00EF4897">
        <w:rPr>
          <w:rFonts w:ascii="Times New Roman" w:hAnsi="Times New Roman" w:cs="Times New Roman"/>
          <w:sz w:val="24"/>
          <w:szCs w:val="24"/>
        </w:rPr>
        <w:t xml:space="preserve">Calculated by aggregating all local park-level statutory rates across 312 estates into an annual cross-sectional distribution. The nominal baseline is the median statutory sales price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M_t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 = Median({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P_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>}_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1}^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>N), paired with the interquartile range (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IQR_t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 = Q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3,t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 xml:space="preserve"> - Q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1,t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 xml:space="preserve">) and the 10th–90th percentile dispersion envelope to iron out hyper-local outliers. Real inflation-adjusted price is deflated via the CPI for Industrial Workers: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Real_P_t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P_t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 / (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CPI_t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 / 100), with base year 2010 = 100.</w:t>
      </w:r>
    </w:p>
    <w:p w14:paraId="55AADC49" w14:textId="77777777" w:rsidR="00E70821" w:rsidRPr="00EF4897" w:rsidRDefault="00E70821" w:rsidP="00E70821">
      <w:pPr>
        <w:spacing w:before="20" w:after="8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Historical Context (2000–2026): </w:t>
      </w:r>
      <w:r w:rsidRPr="00EF4897">
        <w:rPr>
          <w:rFonts w:ascii="Times New Roman" w:hAnsi="Times New Roman" w:cs="Times New Roman"/>
          <w:sz w:val="24"/>
          <w:szCs w:val="24"/>
        </w:rPr>
        <w:t>Across the 26-year timeline (2000–2026), Gujarat's statewide industrial land trajectory underwent distinct economic phases: (1) Post-earthquake reconstruction and infrastructure stabilization (2000–2007), (2) The structural shock of the Global Financial Crisis paired with major OEM reshoring such as Tata Nano (2008–2011), (3) Technology and freight-corridor driven manufacturing expansion along the Western DFC and DMIC (2012–2019), (4) Pandemic-era global supply chain realignment and PLI scheme capital influx (2020–2022), and (5) A stabilization phase under higher persistent interest rates and decentralized growth in Tier-2/Tier-3 corridors up to 2026.</w:t>
      </w:r>
    </w:p>
    <w:p w14:paraId="16D1C605" w14:textId="77777777" w:rsidR="00E70821" w:rsidRPr="00EF4897" w:rsidRDefault="00E70821" w:rsidP="00E70821">
      <w:pPr>
        <w:spacing w:before="100" w:after="20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color w:val="1E3A8A"/>
          <w:sz w:val="24"/>
          <w:szCs w:val="24"/>
        </w:rPr>
        <w:t>A.2 Difference-in-Differences (</w:t>
      </w:r>
      <w:proofErr w:type="spellStart"/>
      <w:r w:rsidRPr="00EF4897">
        <w:rPr>
          <w:rFonts w:ascii="Times New Roman" w:hAnsi="Times New Roman" w:cs="Times New Roman"/>
          <w:b/>
          <w:color w:val="1E3A8A"/>
          <w:sz w:val="24"/>
          <w:szCs w:val="24"/>
        </w:rPr>
        <w:t>DiD</w:t>
      </w:r>
      <w:proofErr w:type="spellEnd"/>
      <w:r w:rsidRPr="00EF4897">
        <w:rPr>
          <w:rFonts w:ascii="Times New Roman" w:hAnsi="Times New Roman" w:cs="Times New Roman"/>
          <w:b/>
          <w:color w:val="1E3A8A"/>
          <w:sz w:val="24"/>
          <w:szCs w:val="24"/>
        </w:rPr>
        <w:t>) Econometric Model &amp; Causal Identification</w:t>
      </w:r>
    </w:p>
    <w:p w14:paraId="08A67E11" w14:textId="77777777" w:rsidR="00E70821" w:rsidRPr="00EF4897" w:rsidRDefault="00E70821" w:rsidP="00E70821">
      <w:pPr>
        <w:spacing w:before="20" w:after="4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Definition: </w:t>
      </w:r>
      <w:r w:rsidRPr="00EF4897">
        <w:rPr>
          <w:rFonts w:ascii="Times New Roman" w:hAnsi="Times New Roman" w:cs="Times New Roman"/>
          <w:sz w:val="24"/>
          <w:szCs w:val="24"/>
        </w:rPr>
        <w:t xml:space="preserve">A quasi-experimental econometric identification technique that evaluates the causal effect of a specific industrial policy intervention or infrastructure shock by comparing changes in land prices over time between a treated group of industrial estates and an untreated control group. [1] </w:t>
      </w:r>
      <w:hyperlink r:id="rId21">
        <w:r w:rsidRPr="00EF4897">
          <w:rPr>
            <w:rFonts w:ascii="Times New Roman" w:hAnsi="Times New Roman" w:cs="Times New Roman"/>
            <w:color w:val="1E3A8A"/>
            <w:sz w:val="24"/>
            <w:szCs w:val="24"/>
            <w:u w:val="single"/>
          </w:rPr>
          <w:t>Angrist &amp; Pischke (2009) Mostly Harmless Econometrics</w:t>
        </w:r>
      </w:hyperlink>
      <w:r w:rsidRPr="00EF4897">
        <w:rPr>
          <w:rFonts w:ascii="Times New Roman" w:hAnsi="Times New Roman" w:cs="Times New Roman"/>
          <w:sz w:val="24"/>
          <w:szCs w:val="24"/>
        </w:rPr>
        <w:t xml:space="preserve">, [2] </w:t>
      </w:r>
      <w:hyperlink r:id="rId22">
        <w:r w:rsidRPr="00EF4897">
          <w:rPr>
            <w:rFonts w:ascii="Times New Roman" w:hAnsi="Times New Roman" w:cs="Times New Roman"/>
            <w:color w:val="1E3A8A"/>
            <w:sz w:val="24"/>
            <w:szCs w:val="24"/>
            <w:u w:val="single"/>
          </w:rPr>
          <w:t>Callaway &amp; Sant'Anna (2021) Journal of Econometrics</w:t>
        </w:r>
      </w:hyperlink>
    </w:p>
    <w:p w14:paraId="763F1A41" w14:textId="77777777" w:rsidR="00E70821" w:rsidRPr="00EF4897" w:rsidRDefault="00E70821" w:rsidP="00E70821">
      <w:pPr>
        <w:spacing w:before="20" w:after="4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Mathematical Formulation &amp; Calculation: </w:t>
      </w:r>
      <w:r w:rsidRPr="00EF4897">
        <w:rPr>
          <w:rFonts w:ascii="Times New Roman" w:hAnsi="Times New Roman" w:cs="Times New Roman"/>
          <w:sz w:val="24"/>
          <w:szCs w:val="24"/>
        </w:rPr>
        <w:t xml:space="preserve">Estimated via a two-way fixed effects (TWFE) OLS specification: 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ln(</w:t>
      </w:r>
      <w:proofErr w:type="spellStart"/>
      <w:proofErr w:type="gramEnd"/>
      <w:r w:rsidRPr="00EF4897">
        <w:rPr>
          <w:rFonts w:ascii="Times New Roman" w:hAnsi="Times New Roman" w:cs="Times New Roman"/>
          <w:sz w:val="24"/>
          <w:szCs w:val="24"/>
        </w:rPr>
        <w:t>Price_it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>) = α + β1*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Treat_i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 + β2*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Post_t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 + β3*(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Treat_i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 ×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Post_t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) +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X_it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'*γ +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ε_it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. Here, β3 is the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DiD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 causal estimator: β3_hat = (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Y_bar_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T,Post</w:t>
      </w:r>
      <w:proofErr w:type="spellEnd"/>
      <w:proofErr w:type="gramEnd"/>
      <w:r w:rsidRPr="00EF4897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Y_bar_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T,Pre</w:t>
      </w:r>
      <w:proofErr w:type="spellEnd"/>
      <w:proofErr w:type="gramEnd"/>
      <w:r w:rsidRPr="00EF4897">
        <w:rPr>
          <w:rFonts w:ascii="Times New Roman" w:hAnsi="Times New Roman" w:cs="Times New Roman"/>
          <w:sz w:val="24"/>
          <w:szCs w:val="24"/>
        </w:rPr>
        <w:t>) - (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Y_bar_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C,Post</w:t>
      </w:r>
      <w:proofErr w:type="spellEnd"/>
      <w:proofErr w:type="gramEnd"/>
      <w:r w:rsidRPr="00EF4897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Y_bar_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C,Pre</w:t>
      </w:r>
      <w:proofErr w:type="spellEnd"/>
      <w:proofErr w:type="gramEnd"/>
      <w:r w:rsidRPr="00EF4897">
        <w:rPr>
          <w:rFonts w:ascii="Times New Roman" w:hAnsi="Times New Roman" w:cs="Times New Roman"/>
          <w:sz w:val="24"/>
          <w:szCs w:val="24"/>
        </w:rPr>
        <w:t>). Identification relies strictly on the Parallel Trends Assumption: E[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Y_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 xml:space="preserve">0) -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Y_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i,pre</w:t>
      </w:r>
      <w:proofErr w:type="spellEnd"/>
      <w:proofErr w:type="gramEnd"/>
      <w:r w:rsidRPr="00EF4897">
        <w:rPr>
          <w:rFonts w:ascii="Times New Roman" w:hAnsi="Times New Roman" w:cs="Times New Roman"/>
          <w:sz w:val="24"/>
          <w:szCs w:val="24"/>
        </w:rPr>
        <w:t xml:space="preserve">(0) |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Treat_i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>=1] = E[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Y_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 xml:space="preserve">0) -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Y_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i,pre</w:t>
      </w:r>
      <w:proofErr w:type="spellEnd"/>
      <w:proofErr w:type="gramEnd"/>
      <w:r w:rsidRPr="00EF4897">
        <w:rPr>
          <w:rFonts w:ascii="Times New Roman" w:hAnsi="Times New Roman" w:cs="Times New Roman"/>
          <w:sz w:val="24"/>
          <w:szCs w:val="24"/>
        </w:rPr>
        <w:t xml:space="preserve">(0) |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Treat_i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>=0], which asserts that in the absence of treatment, both groups would have evolved along identical growth trajectories.</w:t>
      </w:r>
    </w:p>
    <w:p w14:paraId="6DDF25C6" w14:textId="77777777" w:rsidR="00E70821" w:rsidRPr="00EF4897" w:rsidRDefault="00E70821" w:rsidP="00E70821">
      <w:pPr>
        <w:spacing w:before="20" w:after="8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Historical Context (2000–2026): </w:t>
      </w:r>
      <w:r w:rsidRPr="00EF4897">
        <w:rPr>
          <w:rFonts w:ascii="Times New Roman" w:hAnsi="Times New Roman" w:cs="Times New Roman"/>
          <w:sz w:val="24"/>
          <w:szCs w:val="24"/>
        </w:rPr>
        <w:t>Applied in this research to test the causal impact of the 2008 Flagship Anchor / Mega Hub Influx (Tata Nano Sanand &amp; Dahej PCPIR) and the 2010 CPCB CEPI Statutory Environmental Moratorium. The empirical data confirms parallel trends from 2000 to 2007 (pre-treatment growth gap &lt;0.3% p.a.), with subsequent post-treatment divergence generating a net causal premium of +45.0% (+₹1,984.5/sqm) for anchor estates by 2026.</w:t>
      </w:r>
    </w:p>
    <w:p w14:paraId="24B90801" w14:textId="77777777" w:rsidR="00E70821" w:rsidRPr="00EF4897" w:rsidRDefault="00E70821" w:rsidP="00E70821">
      <w:pPr>
        <w:spacing w:before="100" w:after="20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color w:val="1E3A8A"/>
          <w:sz w:val="24"/>
          <w:szCs w:val="24"/>
        </w:rPr>
        <w:t>A.3 Dynamic Event-Study Leads and Lags Specification</w:t>
      </w:r>
    </w:p>
    <w:p w14:paraId="6974D791" w14:textId="77777777" w:rsidR="00E70821" w:rsidRPr="00EF4897" w:rsidRDefault="00E70821" w:rsidP="00E70821">
      <w:pPr>
        <w:spacing w:before="20" w:after="4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lastRenderedPageBreak/>
        <w:t xml:space="preserve">• Definition: </w:t>
      </w:r>
      <w:r w:rsidRPr="00EF4897">
        <w:rPr>
          <w:rFonts w:ascii="Times New Roman" w:hAnsi="Times New Roman" w:cs="Times New Roman"/>
          <w:sz w:val="24"/>
          <w:szCs w:val="24"/>
        </w:rPr>
        <w:t xml:space="preserve">A temporal decomposition of treatment effects across event time relative to the shock year, providing both a formal pre-trend diagnostic test and a multi-year tracking of dynamic price compounding. [1] </w:t>
      </w:r>
      <w:hyperlink r:id="rId23">
        <w:r w:rsidRPr="00EF4897">
          <w:rPr>
            <w:rFonts w:ascii="Times New Roman" w:hAnsi="Times New Roman" w:cs="Times New Roman"/>
            <w:color w:val="1E3A8A"/>
            <w:sz w:val="24"/>
            <w:szCs w:val="24"/>
            <w:u w:val="single"/>
          </w:rPr>
          <w:t>Roth (2022) Pre-test with Event Studies, AER: Insights</w:t>
        </w:r>
      </w:hyperlink>
      <w:r w:rsidRPr="00EF4897">
        <w:rPr>
          <w:rFonts w:ascii="Times New Roman" w:hAnsi="Times New Roman" w:cs="Times New Roman"/>
          <w:sz w:val="24"/>
          <w:szCs w:val="24"/>
        </w:rPr>
        <w:t xml:space="preserve">, [2] </w:t>
      </w:r>
      <w:hyperlink r:id="rId24">
        <w:r w:rsidRPr="00EF4897">
          <w:rPr>
            <w:rFonts w:ascii="Times New Roman" w:hAnsi="Times New Roman" w:cs="Times New Roman"/>
            <w:color w:val="1E3A8A"/>
            <w:sz w:val="24"/>
            <w:szCs w:val="24"/>
            <w:u w:val="single"/>
          </w:rPr>
          <w:t>Sun &amp; Abraham (2021) Journal of Econometrics</w:t>
        </w:r>
      </w:hyperlink>
    </w:p>
    <w:p w14:paraId="427EC146" w14:textId="77777777" w:rsidR="00E70821" w:rsidRPr="00EF4897" w:rsidRDefault="00E70821" w:rsidP="00E70821">
      <w:pPr>
        <w:spacing w:before="20" w:after="4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Mathematical Formulation &amp; Calculation: </w:t>
      </w:r>
      <w:r w:rsidRPr="00EF4897">
        <w:rPr>
          <w:rFonts w:ascii="Times New Roman" w:hAnsi="Times New Roman" w:cs="Times New Roman"/>
          <w:sz w:val="24"/>
          <w:szCs w:val="24"/>
        </w:rPr>
        <w:t xml:space="preserve">Formulated as: 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ln(</w:t>
      </w:r>
      <w:proofErr w:type="spellStart"/>
      <w:proofErr w:type="gramEnd"/>
      <w:r w:rsidRPr="00EF4897">
        <w:rPr>
          <w:rFonts w:ascii="Times New Roman" w:hAnsi="Times New Roman" w:cs="Times New Roman"/>
          <w:sz w:val="24"/>
          <w:szCs w:val="24"/>
        </w:rPr>
        <w:t>Price_it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>) = α_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λ_t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 + Σ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_{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>τ=-K, τ≠-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1}^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 xml:space="preserve">L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δ_τ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 * (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Treat_i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 × 1[t - T0 = τ]) +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X_it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'*γ +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ε_it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>, where τ represents event years relative to the intervention year T0 = 2008. The reference period τ = -1 (2007) is omitted as the baseline. The Parallel Trends Assumption is formally validated if the pre-treatment leads are jointly zero: H0: δ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_{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>-5} = δ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_{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>-4} = δ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_{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>-3} = δ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_{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>-2} = 0, tested via an empirical F-test.</w:t>
      </w:r>
    </w:p>
    <w:p w14:paraId="13C96DFA" w14:textId="77777777" w:rsidR="00E70821" w:rsidRPr="00EF4897" w:rsidRDefault="00E70821" w:rsidP="00E70821">
      <w:pPr>
        <w:spacing w:before="20" w:after="8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Historical Context (2000–2026): </w:t>
      </w:r>
      <w:r w:rsidRPr="00EF4897">
        <w:rPr>
          <w:rFonts w:ascii="Times New Roman" w:hAnsi="Times New Roman" w:cs="Times New Roman"/>
          <w:sz w:val="24"/>
          <w:szCs w:val="24"/>
        </w:rPr>
        <w:t>In our 26-year empirical panel, the lead coefficients prior to 2008 yield an F-statistic of 1.05 with a p-value of 0.38, failing to reject the null hypothesis of parallel pre-trends. Post-treatment lags (τ = 0 to +6) reveal monotonic upward compounding rather than a one-time step jump, reflecting agglomeration economies and cumulative auxiliary supplier co-location.</w:t>
      </w:r>
    </w:p>
    <w:p w14:paraId="318CD79A" w14:textId="77777777" w:rsidR="00E70821" w:rsidRPr="00EF4897" w:rsidRDefault="00E70821" w:rsidP="00E70821">
      <w:pPr>
        <w:spacing w:before="100" w:after="20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color w:val="1E3A8A"/>
          <w:sz w:val="24"/>
          <w:szCs w:val="24"/>
        </w:rPr>
        <w:t>A.4 Industrial Estate Lifecycle Senescence &amp; Brownfield Morbidity</w:t>
      </w:r>
    </w:p>
    <w:p w14:paraId="0338093D" w14:textId="77777777" w:rsidR="00E70821" w:rsidRPr="00EF4897" w:rsidRDefault="00E70821" w:rsidP="00E70821">
      <w:pPr>
        <w:spacing w:before="20" w:after="4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Definition: </w:t>
      </w:r>
      <w:r w:rsidRPr="00EF4897">
        <w:rPr>
          <w:rFonts w:ascii="Times New Roman" w:hAnsi="Times New Roman" w:cs="Times New Roman"/>
          <w:sz w:val="24"/>
          <w:szCs w:val="24"/>
        </w:rPr>
        <w:t xml:space="preserve">The structural decay and carrying-capacity deceleration experienced by aging industrial estates as physical infrastructure depreciates, central effluent treatment plants (CETP) saturate, and urban freight curfews restrict logistics. [1] </w:t>
      </w:r>
      <w:hyperlink r:id="rId25">
        <w:r w:rsidRPr="00EF4897">
          <w:rPr>
            <w:rFonts w:ascii="Times New Roman" w:hAnsi="Times New Roman" w:cs="Times New Roman"/>
            <w:color w:val="1E3A8A"/>
            <w:sz w:val="24"/>
            <w:szCs w:val="24"/>
            <w:u w:val="single"/>
          </w:rPr>
          <w:t>Journal of Urban Economics, Industrial Brownfield Dynamics</w:t>
        </w:r>
      </w:hyperlink>
      <w:r w:rsidRPr="00EF4897">
        <w:rPr>
          <w:rFonts w:ascii="Times New Roman" w:hAnsi="Times New Roman" w:cs="Times New Roman"/>
          <w:sz w:val="24"/>
          <w:szCs w:val="24"/>
        </w:rPr>
        <w:t xml:space="preserve">, [2] </w:t>
      </w:r>
      <w:hyperlink r:id="rId26">
        <w:r w:rsidRPr="00EF4897">
          <w:rPr>
            <w:rFonts w:ascii="Times New Roman" w:hAnsi="Times New Roman" w:cs="Times New Roman"/>
            <w:color w:val="1E3A8A"/>
            <w:sz w:val="24"/>
            <w:szCs w:val="24"/>
            <w:u w:val="single"/>
          </w:rPr>
          <w:t>CPCB Comprehensive Environmental Assessment Audit 2024</w:t>
        </w:r>
      </w:hyperlink>
    </w:p>
    <w:p w14:paraId="17C717EB" w14:textId="77777777" w:rsidR="00E70821" w:rsidRPr="00EF4897" w:rsidRDefault="00E70821" w:rsidP="00E70821">
      <w:pPr>
        <w:spacing w:before="20" w:after="4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Mathematical Formulation &amp; Calculation: </w:t>
      </w:r>
      <w:r w:rsidRPr="00EF4897">
        <w:rPr>
          <w:rFonts w:ascii="Times New Roman" w:hAnsi="Times New Roman" w:cs="Times New Roman"/>
          <w:sz w:val="24"/>
          <w:szCs w:val="24"/>
        </w:rPr>
        <w:t xml:space="preserve">Quantified by the Estate Decay Index (EDI </w:t>
      </w:r>
      <w:r w:rsidRPr="00EF4897">
        <w:rPr>
          <w:rFonts w:ascii="Cambria Math" w:hAnsi="Cambria Math" w:cs="Cambria Math"/>
          <w:sz w:val="24"/>
          <w:szCs w:val="24"/>
        </w:rPr>
        <w:t>∈</w:t>
      </w:r>
      <w:r w:rsidRPr="00EF4897">
        <w:rPr>
          <w:rFonts w:ascii="Times New Roman" w:hAnsi="Times New Roman" w:cs="Times New Roman"/>
          <w:sz w:val="24"/>
          <w:szCs w:val="24"/>
        </w:rPr>
        <w:t xml:space="preserve"> [0, 100]) and the Brownfield Morbidity Ratio: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BMR_j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 = (Unutilized &amp; Sick Plot Footprint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Area_j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) / (Total Plotted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Area_j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). Sunk obsolescence triggers when estate occupancy exceeds 85%, urban curfew hours exceed 8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hrs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>/day, and CEPI pollution scores surpass 70, causing statutory rate appreciation to stagnate.</w:t>
      </w:r>
    </w:p>
    <w:p w14:paraId="4BED5309" w14:textId="77777777" w:rsidR="00E70821" w:rsidRPr="00EF4897" w:rsidRDefault="00E70821" w:rsidP="00E70821">
      <w:pPr>
        <w:spacing w:before="20" w:after="8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Historical Context (2000–2026): </w:t>
      </w:r>
      <w:r w:rsidRPr="00EF4897">
        <w:rPr>
          <w:rFonts w:ascii="Times New Roman" w:hAnsi="Times New Roman" w:cs="Times New Roman"/>
          <w:sz w:val="24"/>
          <w:szCs w:val="24"/>
        </w:rPr>
        <w:t>Demonstrated empirically across Gujarat: Pioneer estates notified between 1990–1999 (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Vatva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>, Naroda, Vapi) experienced price plateaus averaging ₹3,949/sqm in 2026, compared to ₹4,488/sqm in modern SEZ hubs and up to ₹15,131/sqm in specialized greenfield auto corridors.</w:t>
      </w:r>
    </w:p>
    <w:p w14:paraId="6A9767BE" w14:textId="77777777" w:rsidR="00E70821" w:rsidRPr="00EF4897" w:rsidRDefault="00E70821" w:rsidP="00E70821">
      <w:pPr>
        <w:spacing w:before="100" w:after="20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color w:val="1E3A8A"/>
          <w:sz w:val="24"/>
          <w:szCs w:val="24"/>
        </w:rPr>
        <w:t>A.5 Within-Park Micro-Spatial Gate Distance Decay Spline &amp; Logistical Choke</w:t>
      </w:r>
    </w:p>
    <w:p w14:paraId="4D73DE4E" w14:textId="77777777" w:rsidR="00E70821" w:rsidRPr="00EF4897" w:rsidRDefault="00E70821" w:rsidP="00E70821">
      <w:pPr>
        <w:spacing w:before="20" w:after="4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Definition: </w:t>
      </w:r>
      <w:r w:rsidRPr="00EF4897">
        <w:rPr>
          <w:rFonts w:ascii="Times New Roman" w:hAnsi="Times New Roman" w:cs="Times New Roman"/>
          <w:sz w:val="24"/>
          <w:szCs w:val="24"/>
        </w:rPr>
        <w:t xml:space="preserve">The internal spatial rent gradient measuring how land values decline as a parcel's location moves deeper into the estate away from the multimodal arterial entrance gate toward dead-end interior cul-de-sacs. [1] </w:t>
      </w:r>
      <w:hyperlink r:id="rId27">
        <w:r w:rsidRPr="00EF4897">
          <w:rPr>
            <w:rFonts w:ascii="Times New Roman" w:hAnsi="Times New Roman" w:cs="Times New Roman"/>
            <w:color w:val="1E3A8A"/>
            <w:sz w:val="24"/>
            <w:szCs w:val="24"/>
            <w:u w:val="single"/>
          </w:rPr>
          <w:t>Urban Studies, Internal Accessibility in Industrial Parks</w:t>
        </w:r>
      </w:hyperlink>
      <w:r w:rsidRPr="00EF4897">
        <w:rPr>
          <w:rFonts w:ascii="Times New Roman" w:hAnsi="Times New Roman" w:cs="Times New Roman"/>
          <w:sz w:val="24"/>
          <w:szCs w:val="24"/>
        </w:rPr>
        <w:t xml:space="preserve">, [2] </w:t>
      </w:r>
      <w:hyperlink r:id="rId28">
        <w:r w:rsidRPr="00EF4897">
          <w:rPr>
            <w:rFonts w:ascii="Times New Roman" w:hAnsi="Times New Roman" w:cs="Times New Roman"/>
            <w:color w:val="1E3A8A"/>
            <w:sz w:val="24"/>
            <w:szCs w:val="24"/>
            <w:u w:val="single"/>
          </w:rPr>
          <w:t>DILR Gujarat Master Cadastral Plot Geometry Ledger</w:t>
        </w:r>
      </w:hyperlink>
    </w:p>
    <w:p w14:paraId="712440F5" w14:textId="77777777" w:rsidR="00E70821" w:rsidRPr="00EF4897" w:rsidRDefault="00E70821" w:rsidP="00E70821">
      <w:pPr>
        <w:spacing w:before="20" w:after="4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Mathematical Formulation &amp; Calculation: </w:t>
      </w:r>
      <w:r w:rsidRPr="00EF4897">
        <w:rPr>
          <w:rFonts w:ascii="Times New Roman" w:hAnsi="Times New Roman" w:cs="Times New Roman"/>
          <w:sz w:val="24"/>
          <w:szCs w:val="24"/>
        </w:rPr>
        <w:t xml:space="preserve">Modeled via a negative exponential spatial rent function: P(d) =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P_gate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 * 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exp(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>-k * d), where d is road network distance from the estate gate in meters, and k is the internal spatial decay elasticity coefficient. Logistical ingress capability is governed by the Logistical Ingress Factor: LIF = Internal Road Width (m) / 15.5m. When road width is &lt;12m (LIF &lt; 0.65), 3-axle multi-container freight trucks cannot execute a 3-point turn, triggering a turning lockout condition.</w:t>
      </w:r>
    </w:p>
    <w:p w14:paraId="16DCE30E" w14:textId="77777777" w:rsidR="00E70821" w:rsidRPr="00EF4897" w:rsidRDefault="00E70821" w:rsidP="00E70821">
      <w:pPr>
        <w:spacing w:before="20" w:after="8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Historical Context (2000–2026): </w:t>
      </w:r>
      <w:r w:rsidRPr="00EF4897">
        <w:rPr>
          <w:rFonts w:ascii="Times New Roman" w:hAnsi="Times New Roman" w:cs="Times New Roman"/>
          <w:sz w:val="24"/>
          <w:szCs w:val="24"/>
        </w:rPr>
        <w:t>Micro-cadastral analysis of 3,478 surveyed plots proves that internal distance decay steepened dramatically as parks aged. In 2005, internal pricing was nearly flat (k = -0.00004, -7.7% discount at 2,000m). By 2026, internal congestion steepened the gradient to k = -0.00018, causing a steep -30.3% discount (₹4,850/sqm at gate vs. ₹3,380/sqm at 2,000m).</w:t>
      </w:r>
    </w:p>
    <w:p w14:paraId="32FF40DE" w14:textId="77777777" w:rsidR="00E70821" w:rsidRPr="00EF4897" w:rsidRDefault="00E70821" w:rsidP="00E70821">
      <w:pPr>
        <w:spacing w:before="100" w:after="20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color w:val="1E3A8A"/>
          <w:sz w:val="24"/>
          <w:szCs w:val="24"/>
        </w:rPr>
        <w:t>A.6 Speculation Arbitrage Multiple (SAM) &amp; The Statutory Price Wedge</w:t>
      </w:r>
    </w:p>
    <w:p w14:paraId="056841A5" w14:textId="77777777" w:rsidR="00E70821" w:rsidRPr="00EF4897" w:rsidRDefault="00E70821" w:rsidP="00E70821">
      <w:pPr>
        <w:spacing w:before="20" w:after="4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Definition: </w:t>
      </w:r>
      <w:r w:rsidRPr="00EF4897">
        <w:rPr>
          <w:rFonts w:ascii="Times New Roman" w:hAnsi="Times New Roman" w:cs="Times New Roman"/>
          <w:sz w:val="24"/>
          <w:szCs w:val="24"/>
        </w:rPr>
        <w:t xml:space="preserve">The ratio between secondary resale market property prices and statutory GIDC gazette allotment rates, capturing the administrative lag in public land pricing and the magnitude of uncaptured secondary private windfalls. [1] </w:t>
      </w:r>
      <w:hyperlink r:id="rId29">
        <w:r w:rsidRPr="00EF4897">
          <w:rPr>
            <w:rFonts w:ascii="Times New Roman" w:hAnsi="Times New Roman" w:cs="Times New Roman"/>
            <w:color w:val="1E3A8A"/>
            <w:sz w:val="24"/>
            <w:szCs w:val="24"/>
            <w:u w:val="single"/>
          </w:rPr>
          <w:t>Land Use Policy, Public Industrial Land Leasing Systems</w:t>
        </w:r>
      </w:hyperlink>
      <w:r w:rsidRPr="00EF4897">
        <w:rPr>
          <w:rFonts w:ascii="Times New Roman" w:hAnsi="Times New Roman" w:cs="Times New Roman"/>
          <w:sz w:val="24"/>
          <w:szCs w:val="24"/>
        </w:rPr>
        <w:t xml:space="preserve">, [2] </w:t>
      </w:r>
      <w:hyperlink r:id="rId30">
        <w:r w:rsidRPr="00EF4897">
          <w:rPr>
            <w:rFonts w:ascii="Times New Roman" w:hAnsi="Times New Roman" w:cs="Times New Roman"/>
            <w:color w:val="1E3A8A"/>
            <w:sz w:val="24"/>
            <w:szCs w:val="24"/>
            <w:u w:val="single"/>
          </w:rPr>
          <w:t xml:space="preserve">Revenue Department Gujarat </w:t>
        </w:r>
        <w:proofErr w:type="spellStart"/>
        <w:r w:rsidRPr="00EF4897">
          <w:rPr>
            <w:rFonts w:ascii="Times New Roman" w:hAnsi="Times New Roman" w:cs="Times New Roman"/>
            <w:color w:val="1E3A8A"/>
            <w:sz w:val="24"/>
            <w:szCs w:val="24"/>
            <w:u w:val="single"/>
          </w:rPr>
          <w:t>Jantri</w:t>
        </w:r>
        <w:proofErr w:type="spellEnd"/>
        <w:r w:rsidRPr="00EF4897">
          <w:rPr>
            <w:rFonts w:ascii="Times New Roman" w:hAnsi="Times New Roman" w:cs="Times New Roman"/>
            <w:color w:val="1E3A8A"/>
            <w:sz w:val="24"/>
            <w:szCs w:val="24"/>
            <w:u w:val="single"/>
          </w:rPr>
          <w:t xml:space="preserve"> Annual Statement 2023</w:t>
        </w:r>
      </w:hyperlink>
    </w:p>
    <w:p w14:paraId="0BAB04E0" w14:textId="77777777" w:rsidR="00E70821" w:rsidRPr="00EF4897" w:rsidRDefault="00E70821" w:rsidP="00E70821">
      <w:pPr>
        <w:spacing w:before="20" w:after="4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Mathematical Formulation &amp; Calculation: </w:t>
      </w:r>
      <w:r w:rsidRPr="00EF4897">
        <w:rPr>
          <w:rFonts w:ascii="Times New Roman" w:hAnsi="Times New Roman" w:cs="Times New Roman"/>
          <w:sz w:val="24"/>
          <w:szCs w:val="24"/>
        </w:rPr>
        <w:t xml:space="preserve">Calculated as: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SAM_it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P_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 xml:space="preserve">Secondary Market Resale) /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P_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>Statutory GIDC Gazette Allotment). A SAM &gt; 1.0 indicates that official statutory circulars underprice the market, enabling private allotted entities to extract speculative premiums upon resale or transfer.</w:t>
      </w:r>
    </w:p>
    <w:p w14:paraId="3AE6C61D" w14:textId="77777777" w:rsidR="00E70821" w:rsidRPr="00EF4897" w:rsidRDefault="00E70821" w:rsidP="00E70821">
      <w:pPr>
        <w:spacing w:before="20" w:after="8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lastRenderedPageBreak/>
        <w:t xml:space="preserve">• Historical Context (2000–2026): </w:t>
      </w:r>
      <w:r w:rsidRPr="00EF4897">
        <w:rPr>
          <w:rFonts w:ascii="Times New Roman" w:hAnsi="Times New Roman" w:cs="Times New Roman"/>
          <w:sz w:val="24"/>
          <w:szCs w:val="24"/>
        </w:rPr>
        <w:t xml:space="preserve">Across mature industrial parks in Gujarat (e.g.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Changodar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>, Sanand, Sachin), SAM ranges from 1.25x to 1.85x, reflecting a 2–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3 year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 xml:space="preserve"> statutory revision lag. In contrast, peripheral decaying estates exhibit SAM &lt; 0.90, where private secondary liquidity trades below GIDC base rates.</w:t>
      </w:r>
    </w:p>
    <w:p w14:paraId="6C99F872" w14:textId="77777777" w:rsidR="00E70821" w:rsidRDefault="00E70821" w:rsidP="00CA44BC">
      <w:pPr>
        <w:spacing w:before="60" w:after="0"/>
        <w:jc w:val="right"/>
      </w:pPr>
    </w:p>
    <w:p w14:paraId="63996A40" w14:textId="77777777" w:rsidR="00E70821" w:rsidRDefault="00E70821" w:rsidP="00E70821">
      <w:pPr>
        <w:spacing w:before="60" w:after="0"/>
      </w:pPr>
    </w:p>
    <w:sectPr w:rsidR="00E70821" w:rsidSect="00034616">
      <w:pgSz w:w="12240" w:h="15840"/>
      <w:pgMar w:top="605" w:right="691" w:bottom="605" w:left="691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2A4D06"/>
    <w:multiLevelType w:val="hybridMultilevel"/>
    <w:tmpl w:val="521EA37A"/>
    <w:lvl w:ilvl="0" w:tplc="F8F09074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0C2541"/>
    <w:multiLevelType w:val="hybridMultilevel"/>
    <w:tmpl w:val="F70AFAF4"/>
    <w:lvl w:ilvl="0" w:tplc="79204BF8">
      <w:start w:val="1"/>
      <w:numFmt w:val="decimal"/>
      <w:lvlText w:val="(%1)"/>
      <w:lvlJc w:val="left"/>
      <w:pPr>
        <w:ind w:left="792" w:hanging="432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2522080">
    <w:abstractNumId w:val="8"/>
  </w:num>
  <w:num w:numId="2" w16cid:durableId="1907497664">
    <w:abstractNumId w:val="6"/>
  </w:num>
  <w:num w:numId="3" w16cid:durableId="757941760">
    <w:abstractNumId w:val="5"/>
  </w:num>
  <w:num w:numId="4" w16cid:durableId="704137112">
    <w:abstractNumId w:val="4"/>
  </w:num>
  <w:num w:numId="5" w16cid:durableId="433407239">
    <w:abstractNumId w:val="7"/>
  </w:num>
  <w:num w:numId="6" w16cid:durableId="94323656">
    <w:abstractNumId w:val="3"/>
  </w:num>
  <w:num w:numId="7" w16cid:durableId="839469663">
    <w:abstractNumId w:val="2"/>
  </w:num>
  <w:num w:numId="8" w16cid:durableId="1604679345">
    <w:abstractNumId w:val="1"/>
  </w:num>
  <w:num w:numId="9" w16cid:durableId="1021779958">
    <w:abstractNumId w:val="0"/>
  </w:num>
  <w:num w:numId="10" w16cid:durableId="591397146">
    <w:abstractNumId w:val="9"/>
  </w:num>
  <w:num w:numId="11" w16cid:durableId="13071254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0539"/>
    <w:rsid w:val="003E01DD"/>
    <w:rsid w:val="00430940"/>
    <w:rsid w:val="004A31CC"/>
    <w:rsid w:val="005415FF"/>
    <w:rsid w:val="006601D4"/>
    <w:rsid w:val="00722EEB"/>
    <w:rsid w:val="00827A33"/>
    <w:rsid w:val="00AA1D8D"/>
    <w:rsid w:val="00AB5312"/>
    <w:rsid w:val="00B47730"/>
    <w:rsid w:val="00B902F9"/>
    <w:rsid w:val="00CA44BC"/>
    <w:rsid w:val="00CB0664"/>
    <w:rsid w:val="00CD0D7E"/>
    <w:rsid w:val="00CE0086"/>
    <w:rsid w:val="00CE5930"/>
    <w:rsid w:val="00DD3105"/>
    <w:rsid w:val="00DF2BC7"/>
    <w:rsid w:val="00E70821"/>
    <w:rsid w:val="00F908B8"/>
    <w:rsid w:val="00F911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E505FB"/>
  <w14:defaultImageDpi w14:val="300"/>
  <w15:docId w15:val="{CD1B2041-85C9-49E5-876B-CB6C66F73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revenuedepartment.gujarat.gov.in/jantri-rates-2023" TargetMode="External"/><Relationship Id="rId18" Type="http://schemas.openxmlformats.org/officeDocument/2006/relationships/hyperlink" Target="https://cpcb.nic.in/cepi_reports/gujarat_industrial_clusters_2024.pdf" TargetMode="External"/><Relationship Id="rId26" Type="http://schemas.openxmlformats.org/officeDocument/2006/relationships/hyperlink" Target="https://cpcb.nic.in/cepi_reports/gujarat_industrial_clusters_2024.pdf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sciencedirect.com/science/article/abs/pii/S1062976922001314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gidc.gujarat.gov.in/pdf/allotment-price/allotment-price-2004-2005.pdf" TargetMode="External"/><Relationship Id="rId25" Type="http://schemas.openxmlformats.org/officeDocument/2006/relationships/hyperlink" Target="https://www.sciencedirect.com/science/article/pii/S0094119021000548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dc.gujarat.gov.in/pdf/Circular/CIRCULAR-ALLOTMENT-PRICE.pdf" TargetMode="External"/><Relationship Id="rId20" Type="http://schemas.openxmlformats.org/officeDocument/2006/relationships/hyperlink" Target="https://www.sciencedirect.com/science/article/pii/S0264999322001456" TargetMode="External"/><Relationship Id="rId29" Type="http://schemas.openxmlformats.org/officeDocument/2006/relationships/hyperlink" Target="https://www.sciencedirect.com/science/article/pii/S0264837722002135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www.sciencedirect.com/science/article/pii/S0304407620303778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dc.gujarat.gov.in/pdf/June%202022%20GIDC%20Sanand%20Industrial%20Estate.pdf" TargetMode="External"/><Relationship Id="rId23" Type="http://schemas.openxmlformats.org/officeDocument/2006/relationships/hyperlink" Target="https://www.aeaweb.org/articles?id=10.1257/aeri.20210236" TargetMode="External"/><Relationship Id="rId28" Type="http://schemas.openxmlformats.org/officeDocument/2006/relationships/hyperlink" Target="https://gidc.gujarat.gov.in/maps/sanand2_bol_cadastral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www.sciencedirect.com/science/article/abs/pii/S1062976922001314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dc.gujarat.gov.in/allotmentprice" TargetMode="External"/><Relationship Id="rId22" Type="http://schemas.openxmlformats.org/officeDocument/2006/relationships/hyperlink" Target="https://www.sciencedirect.com/science/article/pii/S0304407620303948" TargetMode="External"/><Relationship Id="rId27" Type="http://schemas.openxmlformats.org/officeDocument/2006/relationships/hyperlink" Target="https://www.sciencedirect.com/science/article/abs/pii/S0042098021008761" TargetMode="External"/><Relationship Id="rId30" Type="http://schemas.openxmlformats.org/officeDocument/2006/relationships/hyperlink" Target="https://revenuedepartment.gujarat.gov.in/jantri-rates-20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2251</Words>
  <Characters>12835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puneetarora200@outlook.com</cp:lastModifiedBy>
  <cp:revision>2</cp:revision>
  <dcterms:created xsi:type="dcterms:W3CDTF">2026-10-04T16:36:00Z</dcterms:created>
  <dcterms:modified xsi:type="dcterms:W3CDTF">2026-10-04T16:36:00Z</dcterms:modified>
  <cp:category/>
</cp:coreProperties>
</file>