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7F2EE" w14:textId="49F927E1" w:rsidR="0074284E" w:rsidRPr="0074284E" w:rsidRDefault="0074284E" w:rsidP="0074284E">
      <w:pPr>
        <w:spacing w:line="480" w:lineRule="auto"/>
        <w:rPr>
          <w:rFonts w:ascii="Times New Roman" w:hAnsi="Times New Roman" w:cs="Times New Roman"/>
          <w:b/>
        </w:rPr>
      </w:pPr>
      <w:r>
        <w:rPr>
          <w:rFonts w:ascii="Times New Roman" w:hAnsi="Times New Roman" w:cs="Times New Roman"/>
          <w:b/>
          <w:bCs/>
          <w:iCs/>
        </w:rPr>
        <w:t xml:space="preserve">Supplementary Text S1: </w:t>
      </w:r>
      <w:r w:rsidRPr="0074284E">
        <w:rPr>
          <w:rFonts w:ascii="Times New Roman" w:hAnsi="Times New Roman" w:cs="Times New Roman"/>
          <w:b/>
          <w:bCs/>
          <w:iCs/>
        </w:rPr>
        <w:t xml:space="preserve">Methods used to </w:t>
      </w:r>
      <w:r w:rsidRPr="0074284E">
        <w:rPr>
          <w:rFonts w:ascii="Times New Roman" w:hAnsi="Times New Roman" w:cs="Times New Roman"/>
          <w:b/>
        </w:rPr>
        <w:t>estimat</w:t>
      </w:r>
      <w:r w:rsidR="008326E5">
        <w:rPr>
          <w:rFonts w:ascii="Times New Roman" w:hAnsi="Times New Roman" w:cs="Times New Roman"/>
          <w:b/>
        </w:rPr>
        <w:t>e</w:t>
      </w:r>
      <w:r w:rsidRPr="0074284E">
        <w:rPr>
          <w:rFonts w:ascii="Times New Roman" w:hAnsi="Times New Roman" w:cs="Times New Roman"/>
          <w:b/>
        </w:rPr>
        <w:t xml:space="preserve"> heritability</w:t>
      </w:r>
    </w:p>
    <w:p w14:paraId="258F367B" w14:textId="77777777" w:rsidR="0074284E" w:rsidRPr="0074284E" w:rsidRDefault="0074284E" w:rsidP="0074284E">
      <w:pPr>
        <w:spacing w:line="480" w:lineRule="auto"/>
        <w:ind w:firstLine="720"/>
        <w:rPr>
          <w:rFonts w:ascii="Times New Roman" w:hAnsi="Times New Roman" w:cs="Times New Roman"/>
        </w:rPr>
      </w:pPr>
      <w:r w:rsidRPr="0074284E">
        <w:rPr>
          <w:rFonts w:ascii="Times New Roman" w:hAnsi="Times New Roman" w:cs="Times New Roman"/>
        </w:rPr>
        <w:t xml:space="preserve">Methods to estimate the heritability coefficient have themselves evolved in recent years. Many different methods exist, each with different drawbacks (see </w:t>
      </w:r>
      <w:r w:rsidRPr="0074284E">
        <w:rPr>
          <w:rFonts w:ascii="Times New Roman" w:hAnsi="Times New Roman" w:cs="Times New Roman"/>
        </w:rPr>
        <w:fldChar w:fldCharType="begin" w:fldLock="1"/>
      </w:r>
      <w:r w:rsidRPr="0074284E">
        <w:rPr>
          <w:rFonts w:ascii="Times New Roman" w:hAnsi="Times New Roman" w:cs="Times New Roman"/>
        </w:rPr>
        <w:instrText>ADDIN CSL_CITATION {"citationItems":[{"id":"ITEM-1","itemData":{"DOI":"10.1038/nrg2322","author":[{"dropping-particle":"","family":"Visscher","given":"Peter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Genetics","id":"ITEM-1","issued":{"date-parts":[["2008"]]},"page":"255-267","title":"Heritability in the genomics area – concepts and misconceptions","type":"article-journal","volume":"9"},"uris":["http://www.mendeley.com/documents/?uuid=6cd4e0a2-b369-4080-8f44-1431249d5165"]}],"mendeley":{"formattedCitation":"(Visscher et al. 2008)","manualFormatting":"Visscher et al. 2008)","plainTextFormattedCitation":"(Visscher et al. 2008)","previouslyFormattedCitation":"(Visscher et al. 2008)"},"properties":{"noteIndex":0},"schema":"https://github.com/citation-style-language/schema/raw/master/csl-citation.json"}</w:instrText>
      </w:r>
      <w:r w:rsidRPr="0074284E">
        <w:rPr>
          <w:rFonts w:ascii="Times New Roman" w:hAnsi="Times New Roman" w:cs="Times New Roman"/>
        </w:rPr>
        <w:fldChar w:fldCharType="separate"/>
      </w:r>
      <w:r w:rsidRPr="0074284E">
        <w:rPr>
          <w:rFonts w:ascii="Times New Roman" w:hAnsi="Times New Roman" w:cs="Times New Roman"/>
        </w:rPr>
        <w:t>Visscher et al. 2008)</w:t>
      </w:r>
      <w:r w:rsidRPr="0074284E">
        <w:rPr>
          <w:rFonts w:ascii="Times New Roman" w:hAnsi="Times New Roman" w:cs="Times New Roman"/>
        </w:rPr>
        <w:fldChar w:fldCharType="end"/>
      </w:r>
      <w:r w:rsidRPr="0074284E">
        <w:rPr>
          <w:rFonts w:ascii="Times New Roman" w:hAnsi="Times New Roman" w:cs="Times New Roman"/>
        </w:rPr>
        <w:t xml:space="preserve">. Realized (narrow-sense) heritability is calculated using the Breeder’s equation as </w:t>
      </w:r>
      <w:r w:rsidRPr="0074284E">
        <w:rPr>
          <w:rFonts w:ascii="Times New Roman" w:hAnsi="Times New Roman" w:cs="Times New Roman"/>
          <w:i/>
        </w:rPr>
        <w:t>h</w:t>
      </w:r>
      <w:r w:rsidRPr="0074284E">
        <w:rPr>
          <w:rFonts w:ascii="Times New Roman" w:hAnsi="Times New Roman" w:cs="Times New Roman"/>
          <w:i/>
          <w:vertAlign w:val="superscript"/>
        </w:rPr>
        <w:t>2</w:t>
      </w:r>
      <w:r w:rsidRPr="0074284E">
        <w:rPr>
          <w:rFonts w:ascii="Times New Roman" w:hAnsi="Times New Roman" w:cs="Times New Roman"/>
          <w:i/>
          <w:vertAlign w:val="subscript"/>
        </w:rPr>
        <w:t>R</w:t>
      </w:r>
      <w:r w:rsidRPr="0074284E">
        <w:rPr>
          <w:rFonts w:ascii="Times New Roman" w:hAnsi="Times New Roman" w:cs="Times New Roman"/>
          <w:i/>
        </w:rPr>
        <w:t xml:space="preserve"> = R/S</w:t>
      </w:r>
      <w:r w:rsidRPr="0074284E">
        <w:rPr>
          <w:rFonts w:ascii="Times New Roman" w:hAnsi="Times New Roman" w:cs="Times New Roman"/>
        </w:rPr>
        <w:t xml:space="preserve"> </w:t>
      </w:r>
      <w:r w:rsidRPr="0074284E">
        <w:rPr>
          <w:rFonts w:ascii="Times New Roman" w:hAnsi="Times New Roman" w:cs="Times New Roman"/>
        </w:rPr>
        <w:fldChar w:fldCharType="begin" w:fldLock="1"/>
      </w:r>
      <w:r w:rsidRPr="0074284E">
        <w:rPr>
          <w:rFonts w:ascii="Times New Roman" w:hAnsi="Times New Roman" w:cs="Times New Roman"/>
        </w:rPr>
        <w:instrText>ADDIN CSL_CITATION {"citationItems":[{"id":"ITEM-1","itemData":{"DOI":"10.1038/nrg2322","author":[{"dropping-particle":"","family":"Visscher","given":"Peter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Genetics","id":"ITEM-1","issued":{"date-parts":[["2008"]]},"page":"255-267","title":"Heritability in the genomics area – concepts and misconceptions","type":"article-journal","volume":"9"},"uris":["http://www.mendeley.com/documents/?uuid=6cd4e0a2-b369-4080-8f44-1431249d5165"]},{"id":"ITEM-2","itemData":{"author":[{"dropping-particle":"","family":"Falconer","given":"D S","non-dropping-particle":"","parse-names":false,"suffix":""},{"dropping-particle":"","family":"Mackay","given":"T. F.","non-dropping-particle":"","parse-names":false,"suffix":""}],"id":"ITEM-2","issued":{"date-parts":[["1996"]]},"publisher":"Longman","publisher-place":"Essex, UK","title":"Introduction to Quantitative Genetics","type":"book"},"uris":["http://www.mendeley.com/documents/?uuid=abd8e138-b37d-473b-b416-73abaf704893"]}],"mendeley":{"formattedCitation":"(Falconer and Mackay 1996; Visscher et al. 2008)","plainTextFormattedCitation":"(Falconer and Mackay 1996; Visscher et al. 2008)","previouslyFormattedCitation":"(Falconer and Mackay 1996; Visscher et al. 2008)"},"properties":{"noteIndex":0},"schema":"https://github.com/citation-style-language/schema/raw/master/csl-citation.json"}</w:instrText>
      </w:r>
      <w:r w:rsidRPr="0074284E">
        <w:rPr>
          <w:rFonts w:ascii="Times New Roman" w:hAnsi="Times New Roman" w:cs="Times New Roman"/>
        </w:rPr>
        <w:fldChar w:fldCharType="separate"/>
      </w:r>
      <w:r w:rsidRPr="0074284E">
        <w:rPr>
          <w:rFonts w:ascii="Times New Roman" w:hAnsi="Times New Roman" w:cs="Times New Roman"/>
        </w:rPr>
        <w:t>(Falconer and Mackay 1996; Visscher et al. 2008)</w:t>
      </w:r>
      <w:r w:rsidRPr="0074284E">
        <w:rPr>
          <w:rFonts w:ascii="Times New Roman" w:hAnsi="Times New Roman" w:cs="Times New Roman"/>
        </w:rPr>
        <w:fldChar w:fldCharType="end"/>
      </w:r>
      <w:r w:rsidRPr="0074284E">
        <w:rPr>
          <w:rFonts w:ascii="Times New Roman" w:hAnsi="Times New Roman" w:cs="Times New Roman"/>
        </w:rPr>
        <w:t xml:space="preserve">, but becomes unreliable when selection acts on multiple co-evolving traits and when viability selection is operating </w:t>
      </w:r>
      <w:r w:rsidRPr="0074284E">
        <w:rPr>
          <w:rFonts w:ascii="Times New Roman" w:hAnsi="Times New Roman" w:cs="Times New Roman"/>
        </w:rPr>
        <w:fldChar w:fldCharType="begin" w:fldLock="1"/>
      </w:r>
      <w:r w:rsidRPr="0074284E">
        <w:rPr>
          <w:rFonts w:ascii="Times New Roman" w:hAnsi="Times New Roman" w:cs="Times New Roman"/>
        </w:rPr>
        <w:instrText>ADDIN CSL_CITATION {"citationItems":[{"id":"ITEM-1","itemData":{"DOI":"10.1098/rspb.2007.1013","ISSN":"14712970","abstract":"Some individuals die before a trait is measured or expressed (the invisible fraction), and some relevant traits are not measured in any individual (missing traits). This paper discusses how these concepts can be cast in terms of missing data problems from statistics. Using missing data theory, I show formally the conditions under which a valid evolutionary inference is possible when the invisible fraction and/or missing traits are ignored. These conditions are restrictive and unlikely to be met in even the most comprehensive long-term studies. When these conditions are not met, many selection and quantitative genetic parameters cannot be estimated accurately unless the missing data process is explicitly modelled. Surprisingly, this does not seem to have been attempted in evolutionary biology. In the case of the invisible fraction, viability selection and the missing data process are often intimately linked. In such cases, models used in survival analysis can be extended to provide a flexible and justified model of the missing data mechanism. Although missing traits pose a more difficult problem, important biological parameters can still be estimated without bias when appropriate techniques are used. This is in contrast to current methods which have large biases and poor precision. Generally, the quantitative genetic approach is shown to be superior to phenotypic studies of selection when invisible fractions or missing traits exist because part of the missing information can be recovered from relatives. © 2008 The Royal Society.","author":[{"dropping-particle":"","family":"Hadfield","given":"Jarrod D.","non-dropping-particle":"","parse-names":false,"suffix":""}],"container-title":"Proceedings of the Royal Society B: Biological Sciences","id":"ITEM-1","issue":"1635","issued":{"date-parts":[["2008"]]},"page":"723-734","title":"Estimating evolutionary parameters when viability selection is operating","type":"article-journal","volume":"275"},"uris":["http://www.mendeley.com/documents/?uuid=bc75c624-1680-4bf2-bf6b-529c066eb4cc"]},{"id":"ITEM-2","itemData":{"author":[{"dropping-particle":"","family":"Falconer","given":"D S","non-dropping-particle":"","parse-names":false,"suffix":""},{"dropping-particle":"","family":"Mackay","given":"T. F.","non-dropping-particle":"","parse-names":false,"suffix":""}],"id":"ITEM-2","issued":{"date-parts":[["1996"]]},"publisher":"Longman","publisher-place":"Essex, UK","title":"Introduction to Quantitative Genetics","type":"book"},"uris":["http://www.mendeley.com/documents/?uuid=abd8e138-b37d-473b-b416-73abaf704893"]}],"mendeley":{"formattedCitation":"(Falconer and Mackay 1996; Hadfield 2008)","plainTextFormattedCitation":"(Falconer and Mackay 1996; Hadfield 2008)","previouslyFormattedCitation":"(Falconer and Mackay 1996; Hadfield 2008)"},"properties":{"noteIndex":0},"schema":"https://github.com/citation-style-language/schema/raw/master/csl-citation.json"}</w:instrText>
      </w:r>
      <w:r w:rsidRPr="0074284E">
        <w:rPr>
          <w:rFonts w:ascii="Times New Roman" w:hAnsi="Times New Roman" w:cs="Times New Roman"/>
        </w:rPr>
        <w:fldChar w:fldCharType="separate"/>
      </w:r>
      <w:r w:rsidRPr="0074284E">
        <w:rPr>
          <w:rFonts w:ascii="Times New Roman" w:hAnsi="Times New Roman" w:cs="Times New Roman"/>
        </w:rPr>
        <w:t>(Falconer and Mackay 1996; Hadfield 2008)</w:t>
      </w:r>
      <w:r w:rsidRPr="0074284E">
        <w:rPr>
          <w:rFonts w:ascii="Times New Roman" w:hAnsi="Times New Roman" w:cs="Times New Roman"/>
        </w:rPr>
        <w:fldChar w:fldCharType="end"/>
      </w:r>
      <w:r w:rsidRPr="0074284E">
        <w:rPr>
          <w:rFonts w:ascii="Times New Roman" w:hAnsi="Times New Roman" w:cs="Times New Roman"/>
        </w:rPr>
        <w:t>.</w:t>
      </w:r>
    </w:p>
    <w:p w14:paraId="0229D1FF" w14:textId="77777777" w:rsidR="0074284E" w:rsidRPr="0074284E" w:rsidRDefault="0074284E" w:rsidP="0074284E">
      <w:pPr>
        <w:spacing w:line="480" w:lineRule="auto"/>
        <w:ind w:firstLine="720"/>
        <w:rPr>
          <w:rFonts w:ascii="Times New Roman" w:hAnsi="Times New Roman" w:cs="Times New Roman"/>
        </w:rPr>
      </w:pPr>
      <w:r w:rsidRPr="0074284E">
        <w:rPr>
          <w:rFonts w:ascii="Times New Roman" w:hAnsi="Times New Roman" w:cs="Times New Roman"/>
        </w:rPr>
        <w:t xml:space="preserve">The (mid)parent-offspring regression and ANOVA models for partitioning intra-familial variance are also common, but are strongly sensitive to rearing environments </w:t>
      </w:r>
      <w:r w:rsidRPr="0074284E">
        <w:rPr>
          <w:rFonts w:ascii="Times New Roman" w:hAnsi="Times New Roman" w:cs="Times New Roman"/>
        </w:rPr>
        <w:fldChar w:fldCharType="begin" w:fldLock="1"/>
      </w:r>
      <w:r w:rsidRPr="0074284E">
        <w:rPr>
          <w:rFonts w:ascii="Times New Roman" w:hAnsi="Times New Roman" w:cs="Times New Roman"/>
        </w:rPr>
        <w:instrText>ADDIN CSL_CITATION {"citationItems":[{"id":"ITEM-1","itemData":{"author":[{"dropping-particle":"","family":"Falconer","given":"D S","non-dropping-particle":"","parse-names":false,"suffix":""},{"dropping-particle":"","family":"Mackay","given":"T. F.","non-dropping-particle":"","parse-names":false,"suffix":""}],"id":"ITEM-1","issued":{"date-parts":[["1996"]]},"publisher":"Longman","publisher-place":"Essex, UK","title":"Introduction to Quantitative Genetics","type":"book"},"uris":["http://www.mendeley.com/documents/?uuid=abd8e138-b37d-473b-b416-73abaf704893"]}],"mendeley":{"formattedCitation":"(Falconer and Mackay 1996)","plainTextFormattedCitation":"(Falconer and Mackay 1996)","previouslyFormattedCitation":"(Falconer and Mackay 1996)"},"properties":{"noteIndex":0},"schema":"https://github.com/citation-style-language/schema/raw/master/csl-citation.json"}</w:instrText>
      </w:r>
      <w:r w:rsidRPr="0074284E">
        <w:rPr>
          <w:rFonts w:ascii="Times New Roman" w:hAnsi="Times New Roman" w:cs="Times New Roman"/>
        </w:rPr>
        <w:fldChar w:fldCharType="separate"/>
      </w:r>
      <w:r w:rsidRPr="0074284E">
        <w:rPr>
          <w:rFonts w:ascii="Times New Roman" w:hAnsi="Times New Roman" w:cs="Times New Roman"/>
        </w:rPr>
        <w:t>(Falconer and Mackay 1996)</w:t>
      </w:r>
      <w:r w:rsidRPr="0074284E">
        <w:rPr>
          <w:rFonts w:ascii="Times New Roman" w:hAnsi="Times New Roman" w:cs="Times New Roman"/>
        </w:rPr>
        <w:fldChar w:fldCharType="end"/>
      </w:r>
      <w:r w:rsidRPr="0074284E">
        <w:rPr>
          <w:rFonts w:ascii="Times New Roman" w:hAnsi="Times New Roman" w:cs="Times New Roman"/>
        </w:rPr>
        <w:t xml:space="preserve">. Genetic marker-based methods such as the Ritland multiple regression method </w:t>
      </w:r>
      <w:r w:rsidRPr="0074284E">
        <w:rPr>
          <w:rFonts w:ascii="Times New Roman" w:hAnsi="Times New Roman" w:cs="Times New Roman"/>
        </w:rPr>
        <w:fldChar w:fldCharType="begin" w:fldLock="1"/>
      </w:r>
      <w:r w:rsidRPr="0074284E">
        <w:rPr>
          <w:rFonts w:ascii="Times New Roman" w:hAnsi="Times New Roman" w:cs="Times New Roman"/>
        </w:rPr>
        <w:instrText>ADDIN CSL_CITATION {"citationItems":[{"id":"ITEM-1","itemData":{"author":[{"dropping-particle":"","family":"Ritland","given":"Kermit","non-dropping-particle":"","parse-names":false,"suffix":""}],"container-title":"Evolution","id":"ITEM-1","issue":"3","issued":{"date-parts":[["1996"]]},"page":"1062-1073","title":"A Marker-Based Method for Inferences About Quantitative Inheritance in Natural Populations","type":"article-journal","volume":"50"},"uris":["http://www.mendeley.com/documents/?uuid=8c264553-922d-4557-902b-bd1a8c918262"]}],"mendeley":{"formattedCitation":"(Ritland 1996)","plainTextFormattedCitation":"(Ritland 1996)","previouslyFormattedCitation":"(Ritland 1996)"},"properties":{"noteIndex":0},"schema":"https://github.com/citation-style-language/schema/raw/master/csl-citation.json"}</w:instrText>
      </w:r>
      <w:r w:rsidRPr="0074284E">
        <w:rPr>
          <w:rFonts w:ascii="Times New Roman" w:hAnsi="Times New Roman" w:cs="Times New Roman"/>
        </w:rPr>
        <w:fldChar w:fldCharType="separate"/>
      </w:r>
      <w:r w:rsidRPr="0074284E">
        <w:rPr>
          <w:rFonts w:ascii="Times New Roman" w:hAnsi="Times New Roman" w:cs="Times New Roman"/>
        </w:rPr>
        <w:t>(Ritland 1996)</w:t>
      </w:r>
      <w:r w:rsidRPr="0074284E">
        <w:rPr>
          <w:rFonts w:ascii="Times New Roman" w:hAnsi="Times New Roman" w:cs="Times New Roman"/>
        </w:rPr>
        <w:fldChar w:fldCharType="end"/>
      </w:r>
      <w:r w:rsidRPr="0074284E">
        <w:rPr>
          <w:rFonts w:ascii="Times New Roman" w:hAnsi="Times New Roman" w:cs="Times New Roman"/>
        </w:rPr>
        <w:t xml:space="preserve"> have also been used, but rely on large numbers of markers for accuracy </w:t>
      </w:r>
      <w:r w:rsidRPr="0074284E">
        <w:rPr>
          <w:rFonts w:ascii="Times New Roman" w:hAnsi="Times New Roman" w:cs="Times New Roman"/>
        </w:rPr>
        <w:fldChar w:fldCharType="begin" w:fldLock="1"/>
      </w:r>
      <w:r w:rsidRPr="0074284E">
        <w:rPr>
          <w:rFonts w:ascii="Times New Roman" w:hAnsi="Times New Roman" w:cs="Times New Roman"/>
        </w:rPr>
        <w:instrText>ADDIN CSL_CITATION {"citationItems":[{"id":"ITEM-1","itemData":{"DOI":"10.1038/nrg2322","author":[{"dropping-particle":"","family":"Visscher","given":"Peter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Genetics","id":"ITEM-1","issued":{"date-parts":[["2008"]]},"page":"255-267","title":"Heritability in the genomics area – concepts and misconceptions","type":"article-journal","volume":"9"},"uris":["http://www.mendeley.com/documents/?uuid=6cd4e0a2-b369-4080-8f44-1431249d5165"]}],"mendeley":{"formattedCitation":"(Visscher et al. 2008)","plainTextFormattedCitation":"(Visscher et al. 2008)","previouslyFormattedCitation":"(Visscher et al. 2008)"},"properties":{"noteIndex":0},"schema":"https://github.com/citation-style-language/schema/raw/master/csl-citation.json"}</w:instrText>
      </w:r>
      <w:r w:rsidRPr="0074284E">
        <w:rPr>
          <w:rFonts w:ascii="Times New Roman" w:hAnsi="Times New Roman" w:cs="Times New Roman"/>
        </w:rPr>
        <w:fldChar w:fldCharType="separate"/>
      </w:r>
      <w:r w:rsidRPr="0074284E">
        <w:rPr>
          <w:rFonts w:ascii="Times New Roman" w:hAnsi="Times New Roman" w:cs="Times New Roman"/>
        </w:rPr>
        <w:t>(Visscher et al. 2008)</w:t>
      </w:r>
      <w:r w:rsidRPr="0074284E">
        <w:rPr>
          <w:rFonts w:ascii="Times New Roman" w:hAnsi="Times New Roman" w:cs="Times New Roman"/>
        </w:rPr>
        <w:fldChar w:fldCharType="end"/>
      </w:r>
      <w:r w:rsidRPr="0074284E">
        <w:rPr>
          <w:rFonts w:ascii="Times New Roman" w:hAnsi="Times New Roman" w:cs="Times New Roman"/>
        </w:rPr>
        <w:t xml:space="preserve">. More recently, a quantitative genetic mixed-effects model called the ‘animal model’ has become the standard for estimating heritability in wild populations due to their flexibility and power to estimate heritability </w:t>
      </w:r>
      <w:r w:rsidRPr="0074284E">
        <w:rPr>
          <w:rFonts w:ascii="Times New Roman" w:hAnsi="Times New Roman" w:cs="Times New Roman"/>
        </w:rPr>
        <w:fldChar w:fldCharType="begin" w:fldLock="1"/>
      </w:r>
      <w:r w:rsidRPr="0074284E">
        <w:rPr>
          <w:rFonts w:ascii="Times New Roman" w:hAnsi="Times New Roman" w:cs="Times New Roman"/>
        </w:rPr>
        <w:instrText>ADDIN CSL_CITATION {"citationItems":[{"id":"ITEM-1","itemData":{"DOI":"10.1098/rstb.2003.1437","author":[{"dropping-particle":"","family":"Kruuk","given":"Loeske E B","non-dropping-particle":"","parse-names":false,"suffix":""}],"container-title":"Philosophical Transactions of the Royal Society of London B","id":"ITEM-1","issue":"April","issued":{"date-parts":[["2004"]]},"page":"873-890","title":"Estimating genetic parameters in natural populations using the 'animal model'","type":"article-journal","volume":"359"},"uris":["http://www.mendeley.com/documents/?uuid=14e48dc6-8b20-488c-89ed-f0b400617459"]},{"id":"ITEM-2","itemData":{"DOI":"10.1111/j.1365-2656.2009.01639.x","author":[{"dropping-particle":"","family":"Wilson","given":"Alastair J","non-dropping-particle":"","parse-names":false,"suffix":""},{"dropping-particle":"","family":"Réale","given":"Denis","non-dropping-particle":"","parse-names":false,"suffix":""},{"dropping-particle":"","family":"Clements","given":"Michelle N","non-dropping-particle":"","parse-names":false,"suffix":""},{"dropping-particle":"","family":"Morrissey","given":"Michael M","non-dropping-particle":"","parse-names":false,"suffix":""},{"dropping-particle":"","family":"Postma","given":"Erik","non-dropping-particle":"","parse-names":false,"suffix":""},{"dropping-particle":"","family":"Walling","given":"Craig A","non-dropping-particle":"","parse-names":false,"suffix":""},{"dropping-particle":"","family":"Kruuk","given":"Loeske E B","non-dropping-particle":"","parse-names":false,"suffix":""},{"dropping-particle":"","family":"Nussey","given":"Daniel H","non-dropping-particle":"","parse-names":false,"suffix":""}],"container-title":"Journal of Animal Ecology","id":"ITEM-2","issued":{"date-parts":[["2010"]]},"page":"13-26","title":"An ecologist's guide to the animal model","type":"article-journal","volume":"79"},"uris":["http://www.mendeley.com/documents/?uuid=874d5f3a-185b-4d93-8856-2212da79e738"]}],"mendeley":{"formattedCitation":"(Kruuk 2004; Wilson et al. 2010)","plainTextFormattedCitation":"(Kruuk 2004; Wilson et al. 2010)","previouslyFormattedCitation":"(Kruuk 2004; Wilson et al. 2010)"},"properties":{"noteIndex":0},"schema":"https://github.com/citation-style-language/schema/raw/master/csl-citation.json"}</w:instrText>
      </w:r>
      <w:r w:rsidRPr="0074284E">
        <w:rPr>
          <w:rFonts w:ascii="Times New Roman" w:hAnsi="Times New Roman" w:cs="Times New Roman"/>
        </w:rPr>
        <w:fldChar w:fldCharType="separate"/>
      </w:r>
      <w:r w:rsidRPr="0074284E">
        <w:rPr>
          <w:rFonts w:ascii="Times New Roman" w:hAnsi="Times New Roman" w:cs="Times New Roman"/>
        </w:rPr>
        <w:t>(Kruuk 2004; Wilson et al. 2010)</w:t>
      </w:r>
      <w:r w:rsidRPr="0074284E">
        <w:rPr>
          <w:rFonts w:ascii="Times New Roman" w:hAnsi="Times New Roman" w:cs="Times New Roman"/>
        </w:rPr>
        <w:fldChar w:fldCharType="end"/>
      </w:r>
      <w:r w:rsidRPr="0074284E">
        <w:rPr>
          <w:rFonts w:ascii="Times New Roman" w:hAnsi="Times New Roman" w:cs="Times New Roman"/>
        </w:rPr>
        <w:t xml:space="preserve">. The animal model uses relatedness information from a known pedigree (or other methods, such as inferred pedigrees from genetic markers or genet ID) as a random effect in order to estimate the additive genetic variance, </w:t>
      </w:r>
      <w:r w:rsidRPr="0074284E">
        <w:rPr>
          <w:rFonts w:ascii="Times New Roman" w:hAnsi="Times New Roman" w:cs="Times New Roman"/>
          <w:i/>
        </w:rPr>
        <w:t>V</w:t>
      </w:r>
      <w:r w:rsidRPr="0074284E">
        <w:rPr>
          <w:rFonts w:ascii="Times New Roman" w:hAnsi="Times New Roman" w:cs="Times New Roman"/>
          <w:i/>
          <w:vertAlign w:val="subscript"/>
        </w:rPr>
        <w:t>A</w:t>
      </w:r>
      <w:r w:rsidRPr="0074284E">
        <w:rPr>
          <w:rFonts w:ascii="Times New Roman" w:hAnsi="Times New Roman" w:cs="Times New Roman"/>
        </w:rPr>
        <w:t xml:space="preserve">, associated with the breeding values of individuals </w:t>
      </w:r>
      <w:r w:rsidRPr="0074284E">
        <w:rPr>
          <w:rFonts w:ascii="Times New Roman" w:hAnsi="Times New Roman" w:cs="Times New Roman"/>
        </w:rPr>
        <w:fldChar w:fldCharType="begin" w:fldLock="1"/>
      </w:r>
      <w:r w:rsidRPr="0074284E">
        <w:rPr>
          <w:rFonts w:ascii="Times New Roman" w:hAnsi="Times New Roman" w:cs="Times New Roman"/>
        </w:rPr>
        <w:instrText>ADDIN CSL_CITATION {"citationItems":[{"id":"ITEM-1","itemData":{"DOI":"10.1098/rstb.2003.1437","author":[{"dropping-particle":"","family":"Kruuk","given":"Loeske E B","non-dropping-particle":"","parse-names":false,"suffix":""}],"container-title":"Philosophical Transactions of the Royal Society of London B","id":"ITEM-1","issue":"April","issued":{"date-parts":[["2004"]]},"page":"873-890","title":"Estimating genetic parameters in natural populations using the 'animal model'","type":"article-journal","volume":"359"},"uris":["http://www.mendeley.com/documents/?uuid=14e48dc6-8b20-488c-89ed-f0b400617459"]},{"id":"ITEM-2","itemData":{"DOI":"10.1111/j.1365-2656.2009.01639.x","author":[{"dropping-particle":"","family":"Wilson","given":"Alastair J","non-dropping-particle":"","parse-names":false,"suffix":""},{"dropping-particle":"","family":"Réale","given":"Denis","non-dropping-particle":"","parse-names":false,"suffix":""},{"dropping-particle":"","family":"Clements","given":"Michelle N","non-dropping-particle":"","parse-names":false,"suffix":""},{"dropping-particle":"","family":"Morrissey","given":"Michael M","non-dropping-particle":"","parse-names":false,"suffix":""},{"dropping-particle":"","family":"Postma","given":"Erik","non-dropping-particle":"","parse-names":false,"suffix":""},{"dropping-particle":"","family":"Walling","given":"Craig A","non-dropping-particle":"","parse-names":false,"suffix":""},{"dropping-particle":"","family":"Kruuk","given":"Loeske E B","non-dropping-particle":"","parse-names":false,"suffix":""},{"dropping-particle":"","family":"Nussey","given":"Daniel H","non-dropping-particle":"","parse-names":false,"suffix":""}],"container-title":"Journal of Animal Ecology","id":"ITEM-2","issued":{"date-parts":[["2010"]]},"page":"13-26","title":"An ecologist's guide to the animal model","type":"article-journal","volume":"79"},"uris":["http://www.mendeley.com/documents/?uuid=874d5f3a-185b-4d93-8856-2212da79e738"]}],"mendeley":{"formattedCitation":"(Kruuk 2004; Wilson et al. 2010)","plainTextFormattedCitation":"(Kruuk 2004; Wilson et al. 2010)","previouslyFormattedCitation":"(Kruuk 2004; Wilson et al. 2010)"},"properties":{"noteIndex":0},"schema":"https://github.com/citation-style-language/schema/raw/master/csl-citation.json"}</w:instrText>
      </w:r>
      <w:r w:rsidRPr="0074284E">
        <w:rPr>
          <w:rFonts w:ascii="Times New Roman" w:hAnsi="Times New Roman" w:cs="Times New Roman"/>
        </w:rPr>
        <w:fldChar w:fldCharType="separate"/>
      </w:r>
      <w:r w:rsidRPr="0074284E">
        <w:rPr>
          <w:rFonts w:ascii="Times New Roman" w:hAnsi="Times New Roman" w:cs="Times New Roman"/>
        </w:rPr>
        <w:t>(Kruuk 2004; Wilson et al. 2010)</w:t>
      </w:r>
      <w:r w:rsidRPr="0074284E">
        <w:rPr>
          <w:rFonts w:ascii="Times New Roman" w:hAnsi="Times New Roman" w:cs="Times New Roman"/>
        </w:rPr>
        <w:fldChar w:fldCharType="end"/>
      </w:r>
      <w:r w:rsidRPr="0074284E">
        <w:rPr>
          <w:rFonts w:ascii="Times New Roman" w:hAnsi="Times New Roman" w:cs="Times New Roman"/>
        </w:rPr>
        <w:t xml:space="preserve">. While this method is more flexible, heritabilities estimated while conditioning on unneeded fixed effects may result in estimates not being especially comparable among studies </w:t>
      </w:r>
      <w:r w:rsidRPr="0074284E">
        <w:rPr>
          <w:rFonts w:ascii="Times New Roman" w:hAnsi="Times New Roman" w:cs="Times New Roman"/>
        </w:rPr>
        <w:fldChar w:fldCharType="begin" w:fldLock="1"/>
      </w:r>
      <w:r w:rsidRPr="0074284E">
        <w:rPr>
          <w:rFonts w:ascii="Times New Roman" w:hAnsi="Times New Roman" w:cs="Times New Roman"/>
        </w:rPr>
        <w:instrText>ADDIN CSL_CITATION {"citationItems":[{"id":"ITEM-1","itemData":{"DOI":"10.1111/j.1420-9101.2008.01500.x","author":[{"dropping-particle":"","family":"Wilson","given":"A J","non-dropping-particle":"","parse-names":false,"suffix":""}],"id":"ITEM-1","issued":{"date-parts":[["2008"]]},"page":"647-650","title":"Why h2 does not always equal VA/VP?","type":"article-journal","volume":"21"},"uris":["http://www.mendeley.com/documents/?uuid=06ef3434-478c-47e1-b173-dedc8b3e0cb7"]}],"mendeley":{"formattedCitation":"(Wilson 2008)","plainTextFormattedCitation":"(Wilson 2008)","previouslyFormattedCitation":"(Wilson 2008)"},"properties":{"noteIndex":0},"schema":"https://github.com/citation-style-language/schema/raw/master/csl-citation.json"}</w:instrText>
      </w:r>
      <w:r w:rsidRPr="0074284E">
        <w:rPr>
          <w:rFonts w:ascii="Times New Roman" w:hAnsi="Times New Roman" w:cs="Times New Roman"/>
        </w:rPr>
        <w:fldChar w:fldCharType="separate"/>
      </w:r>
      <w:r w:rsidRPr="0074284E">
        <w:rPr>
          <w:rFonts w:ascii="Times New Roman" w:hAnsi="Times New Roman" w:cs="Times New Roman"/>
        </w:rPr>
        <w:t>(Wilson 2008)</w:t>
      </w:r>
      <w:r w:rsidRPr="0074284E">
        <w:rPr>
          <w:rFonts w:ascii="Times New Roman" w:hAnsi="Times New Roman" w:cs="Times New Roman"/>
        </w:rPr>
        <w:fldChar w:fldCharType="end"/>
      </w:r>
      <w:r w:rsidRPr="0074284E">
        <w:rPr>
          <w:rFonts w:ascii="Times New Roman" w:hAnsi="Times New Roman" w:cs="Times New Roman"/>
        </w:rPr>
        <w:t xml:space="preserve">; thus, careful model construction is a crucial step in estimating heritability </w:t>
      </w:r>
      <w:r w:rsidRPr="0074284E">
        <w:rPr>
          <w:rFonts w:ascii="Times New Roman" w:hAnsi="Times New Roman" w:cs="Times New Roman"/>
        </w:rPr>
        <w:fldChar w:fldCharType="begin" w:fldLock="1"/>
      </w:r>
      <w:r w:rsidRPr="0074284E">
        <w:rPr>
          <w:rFonts w:ascii="Times New Roman" w:hAnsi="Times New Roman" w:cs="Times New Roman"/>
        </w:rPr>
        <w:instrText>ADDIN CSL_CITATION {"citationItems":[{"id":"ITEM-1","itemData":{"DOI":"10.1111/j.1365-2656.2009.01639.x","author":[{"dropping-particle":"","family":"Wilson","given":"Alastair J","non-dropping-particle":"","parse-names":false,"suffix":""},{"dropping-particle":"","family":"Réale","given":"Denis","non-dropping-particle":"","parse-names":false,"suffix":""},{"dropping-particle":"","family":"Clements","given":"Michelle N","non-dropping-particle":"","parse-names":false,"suffix":""},{"dropping-particle":"","family":"Morrissey","given":"Michael M","non-dropping-particle":"","parse-names":false,"suffix":""},{"dropping-particle":"","family":"Postma","given":"Erik","non-dropping-particle":"","parse-names":false,"suffix":""},{"dropping-particle":"","family":"Walling","given":"Craig A","non-dropping-particle":"","parse-names":false,"suffix":""},{"dropping-particle":"","family":"Kruuk","given":"Loeske E B","non-dropping-particle":"","parse-names":false,"suffix":""},{"dropping-particle":"","family":"Nussey","given":"Daniel H","non-dropping-particle":"","parse-names":false,"suffix":""}],"container-title":"Journal of Animal Ecology","id":"ITEM-1","issued":{"date-parts":[["2010"]]},"page":"13-26","title":"An ecologist's guide to the animal model","type":"article-journal","volume":"79"},"uris":["http://www.mendeley.com/documents/?uuid=874d5f3a-185b-4d93-8856-2212da79e738"]}],"mendeley":{"formattedCitation":"(Wilson et al. 2010)","manualFormatting":"(see Wilson et al. 2010 for a step-by-step guide)","plainTextFormattedCitation":"(Wilson et al. 2010)","previouslyFormattedCitation":"(Wilson et al. 2010)"},"properties":{"noteIndex":0},"schema":"https://github.com/citation-style-language/schema/raw/master/csl-citation.json"}</w:instrText>
      </w:r>
      <w:r w:rsidRPr="0074284E">
        <w:rPr>
          <w:rFonts w:ascii="Times New Roman" w:hAnsi="Times New Roman" w:cs="Times New Roman"/>
        </w:rPr>
        <w:fldChar w:fldCharType="separate"/>
      </w:r>
      <w:r w:rsidRPr="0074284E">
        <w:rPr>
          <w:rFonts w:ascii="Times New Roman" w:hAnsi="Times New Roman" w:cs="Times New Roman"/>
        </w:rPr>
        <w:t>(see Wilson et al. 2010 for a step-by-step guide)</w:t>
      </w:r>
      <w:r w:rsidRPr="0074284E">
        <w:rPr>
          <w:rFonts w:ascii="Times New Roman" w:hAnsi="Times New Roman" w:cs="Times New Roman"/>
        </w:rPr>
        <w:fldChar w:fldCharType="end"/>
      </w:r>
      <w:r w:rsidRPr="0074284E">
        <w:rPr>
          <w:rFonts w:ascii="Times New Roman" w:hAnsi="Times New Roman" w:cs="Times New Roman"/>
        </w:rPr>
        <w:t xml:space="preserve">. </w:t>
      </w:r>
    </w:p>
    <w:p w14:paraId="333EEEB8" w14:textId="38EAB114" w:rsidR="0074284E" w:rsidRDefault="0074284E" w:rsidP="0074284E">
      <w:pPr>
        <w:spacing w:line="480" w:lineRule="auto"/>
        <w:ind w:firstLine="720"/>
        <w:rPr>
          <w:rFonts w:ascii="Times New Roman" w:hAnsi="Times New Roman" w:cs="Times New Roman"/>
          <w:b/>
        </w:rPr>
      </w:pPr>
      <w:r w:rsidRPr="0074284E">
        <w:rPr>
          <w:rFonts w:ascii="Times New Roman" w:hAnsi="Times New Roman" w:cs="Times New Roman"/>
        </w:rPr>
        <w:t xml:space="preserve">The majority of these studies in our meta-analysis (14/19 studies accounting for 53/95 estimates) used the ‘animal model’ to estimate heritability, while the remaining estimated heritability using an ANOVA-method of variance partitioning (4/19 studies and 33 estimates), while one study used the Ritland genetic marker method (accounting for six </w:t>
      </w:r>
      <w:r w:rsidRPr="0074284E">
        <w:rPr>
          <w:rFonts w:ascii="Times New Roman" w:hAnsi="Times New Roman" w:cs="Times New Roman"/>
        </w:rPr>
        <w:lastRenderedPageBreak/>
        <w:t>estimates).</w:t>
      </w:r>
      <w:r w:rsidR="006434DE">
        <w:rPr>
          <w:rFonts w:ascii="Times New Roman" w:hAnsi="Times New Roman" w:cs="Times New Roman"/>
        </w:rPr>
        <w:t xml:space="preserve"> </w:t>
      </w:r>
      <w:r w:rsidR="006434DE" w:rsidRPr="006434DE">
        <w:rPr>
          <w:rFonts w:ascii="Times New Roman" w:hAnsi="Times New Roman" w:cs="Times New Roman"/>
        </w:rPr>
        <w:t>Visual inspection of residuals from our model fits suggested no additional unexplained variation that was related to heritability measurement method (Fig S</w:t>
      </w:r>
      <w:r w:rsidR="005018AE">
        <w:rPr>
          <w:rFonts w:ascii="Times New Roman" w:hAnsi="Times New Roman" w:cs="Times New Roman"/>
        </w:rPr>
        <w:t>11 in</w:t>
      </w:r>
      <w:r w:rsidR="006434DE" w:rsidRPr="006434DE">
        <w:rPr>
          <w:rFonts w:ascii="Times New Roman" w:hAnsi="Times New Roman" w:cs="Times New Roman"/>
        </w:rPr>
        <w:t xml:space="preserve"> Supplementary Code C).</w:t>
      </w:r>
      <w:r>
        <w:rPr>
          <w:rFonts w:ascii="Times New Roman" w:hAnsi="Times New Roman" w:cs="Times New Roman"/>
          <w:b/>
        </w:rPr>
        <w:br w:type="page"/>
      </w:r>
    </w:p>
    <w:p w14:paraId="431533A9" w14:textId="767BB887" w:rsidR="0050687C" w:rsidRDefault="001308B0" w:rsidP="0074284E">
      <w:pPr>
        <w:spacing w:line="480" w:lineRule="auto"/>
        <w:rPr>
          <w:rFonts w:ascii="Times New Roman" w:hAnsi="Times New Roman" w:cs="Times New Roman"/>
          <w:b/>
        </w:rPr>
      </w:pPr>
      <w:r>
        <w:rPr>
          <w:rFonts w:ascii="Times New Roman" w:hAnsi="Times New Roman" w:cs="Times New Roman"/>
          <w:b/>
        </w:rPr>
        <w:lastRenderedPageBreak/>
        <w:t xml:space="preserve">Supplementary Text </w:t>
      </w:r>
      <w:r w:rsidR="0050687C">
        <w:rPr>
          <w:rFonts w:ascii="Times New Roman" w:hAnsi="Times New Roman" w:cs="Times New Roman"/>
          <w:b/>
        </w:rPr>
        <w:t>S</w:t>
      </w:r>
      <w:r w:rsidR="0074284E">
        <w:rPr>
          <w:rFonts w:ascii="Times New Roman" w:hAnsi="Times New Roman" w:cs="Times New Roman"/>
          <w:b/>
        </w:rPr>
        <w:t>2</w:t>
      </w:r>
      <w:r w:rsidR="0050687C">
        <w:rPr>
          <w:rFonts w:ascii="Times New Roman" w:hAnsi="Times New Roman" w:cs="Times New Roman"/>
          <w:b/>
        </w:rPr>
        <w:t>: Pre-processing of raw heritability estimates</w:t>
      </w:r>
    </w:p>
    <w:p w14:paraId="65A6867E" w14:textId="1CA02997" w:rsidR="0050687C" w:rsidRPr="0050687C" w:rsidRDefault="0050687C" w:rsidP="0074284E">
      <w:pPr>
        <w:spacing w:line="480" w:lineRule="auto"/>
        <w:ind w:firstLine="720"/>
        <w:rPr>
          <w:rFonts w:ascii="Times New Roman" w:eastAsia="Times New Roman" w:hAnsi="Times New Roman" w:cs="Times New Roman"/>
        </w:rPr>
      </w:pPr>
      <w:r w:rsidRPr="0050687C">
        <w:rPr>
          <w:rFonts w:ascii="Times New Roman" w:eastAsia="Times New Roman" w:hAnsi="Times New Roman" w:cs="Times New Roman"/>
        </w:rPr>
        <w:t xml:space="preserve">Heritability is calculated as a proportion of total phenotypic variation, and thus is constrained to fall between zero and one </w:t>
      </w:r>
      <w:r w:rsidRPr="0050687C">
        <w:rPr>
          <w:rFonts w:ascii="Times New Roman" w:eastAsia="Times New Roman" w:hAnsi="Times New Roman" w:cs="Times New Roman"/>
        </w:rPr>
        <w:fldChar w:fldCharType="begin" w:fldLock="1"/>
      </w:r>
      <w:r w:rsidRPr="0050687C">
        <w:rPr>
          <w:rFonts w:ascii="Times New Roman" w:eastAsia="Times New Roman" w:hAnsi="Times New Roman" w:cs="Times New Roman"/>
        </w:rPr>
        <w:instrText>ADDIN CSL_CITATION {"citationItems":[{"id":"ITEM-1","itemData":{"author":[{"dropping-particle":"","family":"Falconer","given":"D S","non-dropping-particle":"","parse-names":false,"suffix":""},{"dropping-particle":"","family":"Mackay","given":"T. F.","non-dropping-particle":"","parse-names":false,"suffix":""}],"id":"ITEM-1","issued":{"date-parts":[["1996"]]},"publisher":"Longman","publisher-place":"Essex, UK","title":"Introduction to Quantitative Genetics","type":"book"},"uris":["http://www.mendeley.com/documents/?uuid=abd8e138-b37d-473b-b416-73abaf704893"]}],"mendeley":{"formattedCitation":"(Falconer and Mackay 1996)","plainTextFormattedCitation":"(Falconer and Mackay 1996)","previouslyFormattedCitation":"(Falconer and Mackay 1996)"},"properties":{"noteIndex":0},"schema":"https://github.com/citation-style-language/schema/raw/master/csl-citation.json"}</w:instrText>
      </w:r>
      <w:r w:rsidRPr="0050687C">
        <w:rPr>
          <w:rFonts w:ascii="Times New Roman" w:eastAsia="Times New Roman" w:hAnsi="Times New Roman" w:cs="Times New Roman"/>
        </w:rPr>
        <w:fldChar w:fldCharType="separate"/>
      </w:r>
      <w:r w:rsidRPr="0050687C">
        <w:rPr>
          <w:rFonts w:ascii="Times New Roman" w:eastAsia="Times New Roman" w:hAnsi="Times New Roman" w:cs="Times New Roman"/>
          <w:noProof/>
        </w:rPr>
        <w:t>(Falconer and Mackay 1996)</w:t>
      </w:r>
      <w:r w:rsidRPr="0050687C">
        <w:rPr>
          <w:rFonts w:ascii="Times New Roman" w:eastAsia="Times New Roman" w:hAnsi="Times New Roman" w:cs="Times New Roman"/>
        </w:rPr>
        <w:fldChar w:fldCharType="end"/>
      </w:r>
      <w:r w:rsidRPr="0050687C">
        <w:rPr>
          <w:rFonts w:ascii="Times New Roman" w:eastAsia="Times New Roman" w:hAnsi="Times New Roman" w:cs="Times New Roman"/>
        </w:rPr>
        <w:t xml:space="preserve">. Because most classical meta-analytical statistical models assume normally-distributed uncertainty, transformation of our estimates prior to meta-analysis was necessary </w:t>
      </w:r>
      <w:r w:rsidRPr="0050687C">
        <w:rPr>
          <w:rFonts w:ascii="Times New Roman" w:eastAsia="Times New Roman" w:hAnsi="Times New Roman" w:cs="Times New Roman"/>
        </w:rPr>
        <w:fldChar w:fldCharType="begin" w:fldLock="1"/>
      </w:r>
      <w:r w:rsidRPr="0050687C">
        <w:rPr>
          <w:rFonts w:ascii="Times New Roman" w:eastAsia="Times New Roman" w:hAnsi="Times New Roman" w:cs="Times New Roman"/>
        </w:rPr>
        <w:instrText>ADDIN CSL_CITATION {"citationItems":[{"id":"ITEM-1","itemData":{"author":[{"dropping-particle":"","family":"Viechtbauer","given":"Wolfgang","non-dropping-particle":"","parse-names":false,"suffix":""}],"container-title":"Journal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package","type":"article-journal","volume":"36"},"uris":["http://www.mendeley.com/documents/?uuid=70c3f9ef-a9bb-48c3-84c0-799642ed2715"]},{"id":"ITEM-2","itemData":{"DOI":"10.1002/hsr2.178","ISSN":"23988835","abstract":"Meta-analyses have been increasingly used to synthesize proportions (eg, disease prevalence) from multiple studies in recent years. Arcsine-based transformations, especially the Freeman–Tukey double-arcsine transformation, are popular tools for stabilizing the variance of each study's proportion in two-step meta-analysis methods. Although they offer some benefits over the conventional logit transformation, they also suffer from several important limitations (eg, lack of interpretability) and may lead to misleading conclusions. Generalized linear mixed models and Bayesian models are intuitive one-step alternative approaches, and can be readily implemented via many software programs. This article explains various pros and cons of the arcsine-based transformations, and discusses the alternatives that may be generally superior to the currently popular practice.","author":[{"dropping-particle":"","family":"Lin","given":"Lifeng","non-dropping-particle":"","parse-names":false,"suffix":""},{"dropping-particle":"","family":"Xu","given":"Chang","non-dropping-particle":"","parse-names":false,"suffix":""}],"container-title":"Health Science Reports","id":"ITEM-2","issue":"3","issued":{"date-parts":[["2020"]]},"page":"1-6","title":"Arcsine-based transformations for meta-analysis of proportions: Pros, cons, and alternatives","type":"article-journal","volume":"3"},"uris":["http://www.mendeley.com/documents/?uuid=b9728c82-6f6d-4fb9-b52f-08c94f9863a7"]}],"mendeley":{"formattedCitation":"(Viechtbauer 2010; Lin and Xu 2020)","plainTextFormattedCitation":"(Viechtbauer 2010; Lin and Xu 2020)","previouslyFormattedCitation":"(Viechtbauer 2010; Lin and Xu 2020)"},"properties":{"noteIndex":0},"schema":"https://github.com/citation-style-language/schema/raw/master/csl-citation.json"}</w:instrText>
      </w:r>
      <w:r w:rsidRPr="0050687C">
        <w:rPr>
          <w:rFonts w:ascii="Times New Roman" w:eastAsia="Times New Roman" w:hAnsi="Times New Roman" w:cs="Times New Roman"/>
        </w:rPr>
        <w:fldChar w:fldCharType="separate"/>
      </w:r>
      <w:r w:rsidRPr="0050687C">
        <w:rPr>
          <w:rFonts w:ascii="Times New Roman" w:eastAsia="Times New Roman" w:hAnsi="Times New Roman" w:cs="Times New Roman"/>
          <w:noProof/>
        </w:rPr>
        <w:t>(Viechtbauer 2010; Lin and Xu 2020)</w:t>
      </w:r>
      <w:r w:rsidRPr="0050687C">
        <w:rPr>
          <w:rFonts w:ascii="Times New Roman" w:eastAsia="Times New Roman" w:hAnsi="Times New Roman" w:cs="Times New Roman"/>
        </w:rPr>
        <w:fldChar w:fldCharType="end"/>
      </w:r>
      <w:r w:rsidRPr="0050687C">
        <w:rPr>
          <w:rFonts w:ascii="Times New Roman" w:eastAsia="Times New Roman" w:hAnsi="Times New Roman" w:cs="Times New Roman"/>
        </w:rPr>
        <w:t xml:space="preserve">. The variance of heritability is often reported either as standard error of the mean (herein ‘SE’) and associated 95% confidence intervals or 95% Bayesian credible intervals (herein ‘CI’). Some Bayesian credible intervals are relatively asymmetric when the heritability estimate is close to zero or one, and thus are not easily converted to SEs without some information being lost. Additionally, transformations of proportional SE generally only work well for non-extreme point estimates (e.g., 0.2–0.8 for logit and arcsine-square root transformations) </w:t>
      </w:r>
      <w:r w:rsidRPr="0050687C">
        <w:rPr>
          <w:rFonts w:ascii="Times New Roman" w:eastAsia="Times New Roman" w:hAnsi="Times New Roman" w:cs="Times New Roman"/>
        </w:rPr>
        <w:fldChar w:fldCharType="begin" w:fldLock="1"/>
      </w:r>
      <w:r w:rsidRPr="0050687C">
        <w:rPr>
          <w:rFonts w:ascii="Times New Roman" w:eastAsia="Times New Roman" w:hAnsi="Times New Roman" w:cs="Times New Roman"/>
        </w:rPr>
        <w:instrText>ADDIN CSL_CITATION {"citationItems":[{"id":"ITEM-1","itemData":{"author":[{"dropping-particle":"","family":"Warton","given":"David I","non-dropping-particle":"","parse-names":false,"suffix":""},{"dropping-particle":"","family":"Hui","given":"Francis K C","non-dropping-particle":"","parse-names":false,"suffix":""}],"container-title":"Ecology","id":"ITEM-1","issue":"1","issued":{"date-parts":[["2011"]]},"page":"3-10","title":"The arcsine is asinine: the analysis of proportions in ecology","type":"article-journal","volume":"92"},"uris":["http://www.mendeley.com/documents/?uuid=94c4db4c-a566-4721-b4b0-61f9e050e073"]},{"id":"ITEM-2","itemData":{"author":[{"dropping-particle":"","family":"Wang","given":"Naike","non-dropping-particle":"","parse-names":false,"suffix":""}],"container-title":"John Jay College of Criminal Justice","id":"ITEM-2","issued":{"date-parts":[["2018"]]},"page":"1-62","title":"Conducting Meta-Analyses of Proportions in R","type":"article-journal"},"uris":["http://www.mendeley.com/documents/?uuid=2533d44c-1e2a-4918-91dc-d52b10ff1eea"]}],"mendeley":{"formattedCitation":"(Warton and Hui 2011; Wang 2018)","plainTextFormattedCitation":"(Warton and Hui 2011; Wang 2018)","previouslyFormattedCitation":"(Warton and Hui 2011; Wang 2018)"},"properties":{"noteIndex":0},"schema":"https://github.com/citation-style-language/schema/raw/master/csl-citation.json"}</w:instrText>
      </w:r>
      <w:r w:rsidRPr="0050687C">
        <w:rPr>
          <w:rFonts w:ascii="Times New Roman" w:eastAsia="Times New Roman" w:hAnsi="Times New Roman" w:cs="Times New Roman"/>
        </w:rPr>
        <w:fldChar w:fldCharType="separate"/>
      </w:r>
      <w:r w:rsidRPr="0050687C">
        <w:rPr>
          <w:rFonts w:ascii="Times New Roman" w:eastAsia="Times New Roman" w:hAnsi="Times New Roman" w:cs="Times New Roman"/>
          <w:noProof/>
        </w:rPr>
        <w:t>(Warton and Hui 2011; Wang 2018)</w:t>
      </w:r>
      <w:r w:rsidRPr="0050687C">
        <w:rPr>
          <w:rFonts w:ascii="Times New Roman" w:eastAsia="Times New Roman" w:hAnsi="Times New Roman" w:cs="Times New Roman"/>
        </w:rPr>
        <w:fldChar w:fldCharType="end"/>
      </w:r>
      <w:r w:rsidRPr="0050687C">
        <w:rPr>
          <w:rFonts w:ascii="Times New Roman" w:eastAsia="Times New Roman" w:hAnsi="Times New Roman" w:cs="Times New Roman"/>
        </w:rPr>
        <w:t xml:space="preserve">, while others have difficulty in back-calculating and interpretation (e.g. double arcsine transformation) </w:t>
      </w:r>
      <w:r w:rsidRPr="0050687C">
        <w:rPr>
          <w:rFonts w:ascii="Times New Roman" w:eastAsia="Times New Roman" w:hAnsi="Times New Roman" w:cs="Times New Roman"/>
        </w:rPr>
        <w:fldChar w:fldCharType="begin" w:fldLock="1"/>
      </w:r>
      <w:r w:rsidRPr="0050687C">
        <w:rPr>
          <w:rFonts w:ascii="Times New Roman" w:eastAsia="Times New Roman" w:hAnsi="Times New Roman" w:cs="Times New Roman"/>
        </w:rPr>
        <w:instrText>ADDIN CSL_CITATION {"citationItems":[{"id":"ITEM-1","itemData":{"DOI":"10.1002/jrsm.1348","ISSN":"17592887","abstract":"Standard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Methods","id":"ITEM-1","issue":"3","issued":{"date-parts":[["2019"]]},"page":"476-483","title":"Seriously misleading results using inverse of Freeman-Tukey double arcsine transformation in meta-analysis of single proportions","type":"article-journal","volume":"10"},"uris":["http://www.mendeley.com/documents/?uuid=c70e64f4-3d92-4fc6-aa17-42eb1eea18c6"]}],"mendeley":{"formattedCitation":"(Schwarzer et al. 2019)","plainTextFormattedCitation":"(Schwarzer et al. 2019)","previouslyFormattedCitation":"(Schwarzer et al. 2019)"},"properties":{"noteIndex":0},"schema":"https://github.com/citation-style-language/schema/raw/master/csl-citation.json"}</w:instrText>
      </w:r>
      <w:r w:rsidRPr="0050687C">
        <w:rPr>
          <w:rFonts w:ascii="Times New Roman" w:eastAsia="Times New Roman" w:hAnsi="Times New Roman" w:cs="Times New Roman"/>
        </w:rPr>
        <w:fldChar w:fldCharType="separate"/>
      </w:r>
      <w:r w:rsidRPr="0050687C">
        <w:rPr>
          <w:rFonts w:ascii="Times New Roman" w:eastAsia="Times New Roman" w:hAnsi="Times New Roman" w:cs="Times New Roman"/>
          <w:noProof/>
        </w:rPr>
        <w:t>(Schwarzer et al. 2019)</w:t>
      </w:r>
      <w:r w:rsidRPr="0050687C">
        <w:rPr>
          <w:rFonts w:ascii="Times New Roman" w:eastAsia="Times New Roman" w:hAnsi="Times New Roman" w:cs="Times New Roman"/>
        </w:rPr>
        <w:fldChar w:fldCharType="end"/>
      </w:r>
      <w:r w:rsidRPr="0050687C">
        <w:rPr>
          <w:rFonts w:ascii="Times New Roman" w:eastAsia="Times New Roman" w:hAnsi="Times New Roman" w:cs="Times New Roman"/>
        </w:rPr>
        <w:t xml:space="preserve">. Symmetric standard errors can have associated 95% confidence </w:t>
      </w:r>
      <w:r w:rsidR="00350AAD">
        <w:rPr>
          <w:rFonts w:ascii="Times New Roman" w:eastAsia="Times New Roman" w:hAnsi="Times New Roman" w:cs="Times New Roman"/>
        </w:rPr>
        <w:t>limits</w:t>
      </w:r>
      <w:r w:rsidRPr="0050687C">
        <w:rPr>
          <w:rFonts w:ascii="Times New Roman" w:eastAsia="Times New Roman" w:hAnsi="Times New Roman" w:cs="Times New Roman"/>
        </w:rPr>
        <w:t xml:space="preserve"> with non-sensical meanings, such as including negative values of heritability or </w:t>
      </w:r>
      <w:r w:rsidR="00350AAD">
        <w:rPr>
          <w:rFonts w:ascii="Times New Roman" w:eastAsia="Times New Roman" w:hAnsi="Times New Roman" w:cs="Times New Roman"/>
        </w:rPr>
        <w:t xml:space="preserve">values above one, meaning </w:t>
      </w:r>
      <w:r w:rsidRPr="0050687C">
        <w:rPr>
          <w:rFonts w:ascii="Times New Roman" w:eastAsia="Times New Roman" w:hAnsi="Times New Roman" w:cs="Times New Roman"/>
        </w:rPr>
        <w:t xml:space="preserve">additive genetics contributing more than 100% of total phenotypic variance. On the other hand, posterior distributions and associated CIs can often be asymmetric near the boundary, violating the assumption of Gaussian-distributed SEs required in standard meta-analysis </w:t>
      </w:r>
      <w:r w:rsidRPr="0050687C">
        <w:rPr>
          <w:rFonts w:ascii="Times New Roman" w:eastAsia="Times New Roman" w:hAnsi="Times New Roman" w:cs="Times New Roman"/>
        </w:rPr>
        <w:fldChar w:fldCharType="begin" w:fldLock="1"/>
      </w:r>
      <w:r w:rsidRPr="0050687C">
        <w:rPr>
          <w:rFonts w:ascii="Times New Roman" w:eastAsia="Times New Roman" w:hAnsi="Times New Roman" w:cs="Times New Roman"/>
        </w:rPr>
        <w:instrText>ADDIN CSL_CITATION {"citationItems":[{"id":"ITEM-1","itemData":{"DOI":"10.1002/bimj.201800071","author":[{"dropping-particle":"","family":"Jackson","given":"Dan","non-dropping-particle":"","parse-names":false,"suffix":""},{"dropping-particle":"","family":"White","given":"Ian R","non-dropping-particle":"","parse-names":false,"suffix":""}],"id":"ITEM-1","issue":"June","issued":{"date-parts":[["2018"]]},"page":"1040-1058","title":"When should meta-analysis avoid making hidden normality assumptions ?","type":"article-journal"},"uris":["http://www.mendeley.com/documents/?uuid=426612ff-5c8a-4541-9da6-01aa10f1856b"]}],"mendeley":{"formattedCitation":"(Jackson and White 2018)","plainTextFormattedCitation":"(Jackson and White 2018)","previouslyFormattedCitation":"(Jackson and White 2018)"},"properties":{"noteIndex":0},"schema":"https://github.com/citation-style-language/schema/raw/master/csl-citation.json"}</w:instrText>
      </w:r>
      <w:r w:rsidRPr="0050687C">
        <w:rPr>
          <w:rFonts w:ascii="Times New Roman" w:eastAsia="Times New Roman" w:hAnsi="Times New Roman" w:cs="Times New Roman"/>
        </w:rPr>
        <w:fldChar w:fldCharType="separate"/>
      </w:r>
      <w:r w:rsidRPr="0050687C">
        <w:rPr>
          <w:rFonts w:ascii="Times New Roman" w:eastAsia="Times New Roman" w:hAnsi="Times New Roman" w:cs="Times New Roman"/>
          <w:noProof/>
        </w:rPr>
        <w:t>(Jackson and White 2018)</w:t>
      </w:r>
      <w:r w:rsidRPr="0050687C">
        <w:rPr>
          <w:rFonts w:ascii="Times New Roman" w:eastAsia="Times New Roman" w:hAnsi="Times New Roman" w:cs="Times New Roman"/>
        </w:rPr>
        <w:fldChar w:fldCharType="end"/>
      </w:r>
      <w:r w:rsidRPr="0050687C">
        <w:rPr>
          <w:rFonts w:ascii="Times New Roman" w:eastAsia="Times New Roman" w:hAnsi="Times New Roman" w:cs="Times New Roman"/>
        </w:rPr>
        <w:t xml:space="preserve">. To avoid and correct for these problems, we modelled </w:t>
      </w:r>
      <w:r w:rsidRPr="0050687C">
        <w:rPr>
          <w:rFonts w:ascii="Times New Roman" w:eastAsia="Times New Roman" w:hAnsi="Times New Roman" w:cs="Times New Roman"/>
          <w:i/>
        </w:rPr>
        <w:t>h</w:t>
      </w:r>
      <w:r w:rsidRPr="0050687C">
        <w:rPr>
          <w:rFonts w:ascii="Times New Roman" w:eastAsia="Times New Roman" w:hAnsi="Times New Roman" w:cs="Times New Roman"/>
          <w:i/>
          <w:vertAlign w:val="superscript"/>
        </w:rPr>
        <w:t>2</w:t>
      </w:r>
      <w:r w:rsidRPr="0050687C">
        <w:rPr>
          <w:rFonts w:ascii="Times New Roman" w:eastAsia="Times New Roman" w:hAnsi="Times New Roman" w:cs="Times New Roman"/>
        </w:rPr>
        <w:t xml:space="preserve"> and its associated CI</w:t>
      </w:r>
      <w:r w:rsidR="005E1B77">
        <w:rPr>
          <w:rFonts w:ascii="Times New Roman" w:eastAsia="Times New Roman" w:hAnsi="Times New Roman" w:cs="Times New Roman"/>
        </w:rPr>
        <w:t xml:space="preserve"> limits</w:t>
      </w:r>
      <w:r w:rsidRPr="0050687C">
        <w:rPr>
          <w:rFonts w:ascii="Times New Roman" w:eastAsia="Times New Roman" w:hAnsi="Times New Roman" w:cs="Times New Roman"/>
        </w:rPr>
        <w:t xml:space="preserve"> on the logarithmic scale using the transformation: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846"/>
        <w:gridCol w:w="7229"/>
        <w:gridCol w:w="935"/>
      </w:tblGrid>
      <w:tr w:rsidR="0050687C" w:rsidRPr="0050687C" w14:paraId="40E5B7E9" w14:textId="77777777" w:rsidTr="003257B4">
        <w:tc>
          <w:tcPr>
            <w:tcW w:w="846" w:type="dxa"/>
          </w:tcPr>
          <w:p w14:paraId="40828EA1" w14:textId="77777777" w:rsidR="0050687C" w:rsidRPr="0050687C" w:rsidRDefault="0050687C" w:rsidP="0074284E">
            <w:pPr>
              <w:spacing w:line="480" w:lineRule="auto"/>
              <w:rPr>
                <w:rFonts w:ascii="Times New Roman" w:hAnsi="Times New Roman"/>
              </w:rPr>
            </w:pPr>
          </w:p>
        </w:tc>
        <w:tc>
          <w:tcPr>
            <w:tcW w:w="7229" w:type="dxa"/>
            <w:vAlign w:val="center"/>
          </w:tcPr>
          <w:p w14:paraId="6BA67DD1" w14:textId="77777777" w:rsidR="0050687C" w:rsidRPr="0050687C" w:rsidRDefault="00BD441D" w:rsidP="0074284E">
            <w:pPr>
              <w:spacing w:line="480" w:lineRule="auto"/>
              <w:rPr>
                <w:rFonts w:ascii="Times New Roman" w:hAnsi="Times New Roman"/>
              </w:rPr>
            </w:pPr>
            <m:oMathPara>
              <m:oMathParaPr>
                <m:jc m:val="center"/>
              </m:oMathParaPr>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r>
                  <w:rPr>
                    <w:rFonts w:ascii="Cambria Math" w:hAnsi="Cambria Math"/>
                  </w:rPr>
                  <m:t>=ln[</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+0.2]</m:t>
                </m:r>
              </m:oMath>
            </m:oMathPara>
          </w:p>
        </w:tc>
        <w:tc>
          <w:tcPr>
            <w:tcW w:w="935" w:type="dxa"/>
            <w:vAlign w:val="center"/>
          </w:tcPr>
          <w:p w14:paraId="6D35B821" w14:textId="77777777" w:rsidR="0050687C" w:rsidRPr="0050687C" w:rsidRDefault="0050687C" w:rsidP="0074284E">
            <w:pPr>
              <w:spacing w:line="480" w:lineRule="auto"/>
              <w:jc w:val="right"/>
              <w:rPr>
                <w:rFonts w:ascii="Times New Roman" w:hAnsi="Times New Roman"/>
              </w:rPr>
            </w:pPr>
            <w:r w:rsidRPr="0050687C">
              <w:rPr>
                <w:rFonts w:ascii="Times New Roman" w:hAnsi="Times New Roman"/>
              </w:rPr>
              <w:t>(1)</w:t>
            </w:r>
          </w:p>
        </w:tc>
      </w:tr>
    </w:tbl>
    <w:p w14:paraId="47CD2B1A" w14:textId="2EC61CC3" w:rsidR="0050687C" w:rsidRPr="0050687C" w:rsidRDefault="0050687C" w:rsidP="0074284E">
      <w:pPr>
        <w:spacing w:line="480" w:lineRule="auto"/>
        <w:rPr>
          <w:rFonts w:ascii="Times New Roman" w:eastAsia="Times New Roman" w:hAnsi="Times New Roman" w:cs="Times New Roman"/>
        </w:rPr>
      </w:pPr>
      <w:r w:rsidRPr="0050687C">
        <w:rPr>
          <w:rFonts w:ascii="Times New Roman" w:eastAsia="Times New Roman" w:hAnsi="Times New Roman" w:cs="Times New Roman"/>
        </w:rPr>
        <w:t xml:space="preserve">Since heritability values tended more towards the lower bound of 0 rather than the upper bound of 1, logarithmic transformation provides better estimates upon back-transformation for these low values while preserving the relative difference in standard errors compared to other transformations (see Supplementary </w:t>
      </w:r>
      <w:r w:rsidR="003902E6">
        <w:rPr>
          <w:rFonts w:ascii="Times New Roman" w:eastAsia="Times New Roman" w:hAnsi="Times New Roman" w:cs="Times New Roman"/>
        </w:rPr>
        <w:t>Code Documentation</w:t>
      </w:r>
      <w:r w:rsidRPr="0050687C">
        <w:rPr>
          <w:rFonts w:ascii="Times New Roman" w:eastAsia="Times New Roman" w:hAnsi="Times New Roman" w:cs="Times New Roman"/>
        </w:rPr>
        <w:t xml:space="preserve"> A: Pre-processing). </w:t>
      </w:r>
      <w:r w:rsidR="005E1B77">
        <w:rPr>
          <w:rFonts w:ascii="Times New Roman" w:eastAsia="Times New Roman" w:hAnsi="Times New Roman" w:cs="Times New Roman"/>
        </w:rPr>
        <w:t xml:space="preserve">We selected a value of +0.2 to add, as this value allowed the inclusion of nearly all estimates save </w:t>
      </w:r>
      <w:r w:rsidR="005E1B77">
        <w:rPr>
          <w:rFonts w:ascii="Times New Roman" w:eastAsia="Times New Roman" w:hAnsi="Times New Roman" w:cs="Times New Roman"/>
        </w:rPr>
        <w:lastRenderedPageBreak/>
        <w:t xml:space="preserve">for three outliers with extremely large CIs </w:t>
      </w:r>
      <w:r w:rsidR="005E1B77" w:rsidRPr="0050687C">
        <w:rPr>
          <w:rFonts w:ascii="Times New Roman" w:eastAsia="Times New Roman" w:hAnsi="Times New Roman" w:cs="Times New Roman"/>
        </w:rPr>
        <w:t xml:space="preserve">(see Supplementary </w:t>
      </w:r>
      <w:r w:rsidR="005E1B77">
        <w:rPr>
          <w:rFonts w:ascii="Times New Roman" w:eastAsia="Times New Roman" w:hAnsi="Times New Roman" w:cs="Times New Roman"/>
        </w:rPr>
        <w:t>Code Documentation</w:t>
      </w:r>
      <w:r w:rsidR="005E1B77" w:rsidRPr="0050687C">
        <w:rPr>
          <w:rFonts w:ascii="Times New Roman" w:eastAsia="Times New Roman" w:hAnsi="Times New Roman" w:cs="Times New Roman"/>
        </w:rPr>
        <w:t xml:space="preserve"> A: Pre-processing</w:t>
      </w:r>
      <w:r w:rsidR="005E1B77">
        <w:rPr>
          <w:rFonts w:ascii="Times New Roman" w:eastAsia="Times New Roman" w:hAnsi="Times New Roman" w:cs="Times New Roman"/>
        </w:rPr>
        <w:t xml:space="preserve">). </w:t>
      </w:r>
      <w:r w:rsidRPr="0050687C">
        <w:rPr>
          <w:rFonts w:ascii="Times New Roman" w:eastAsia="Times New Roman" w:hAnsi="Times New Roman" w:cs="Times New Roman"/>
        </w:rPr>
        <w:t>Additionally, the logarithmic transformation somewhat normalizes the asymmetric Bayesian posterior distributions that tended to characterize heritability estimates near the lower boundary. We tested seven other transformations of proportions, such as the logit transformation on SE as well as CI and the double arc-sine square root transformation of SE, all resulted in similar model selection outcomes, suggesting that our results are robust to our choice of transformation. For estimates reporting SE (</w:t>
      </w:r>
      <w:r w:rsidRPr="0050687C">
        <w:rPr>
          <w:rFonts w:ascii="Times New Roman" w:eastAsia="Times New Roman" w:hAnsi="Times New Roman" w:cs="Times New Roman"/>
          <w:i/>
        </w:rPr>
        <w:t xml:space="preserve">n </w:t>
      </w:r>
      <w:r w:rsidRPr="0050687C">
        <w:rPr>
          <w:rFonts w:ascii="Times New Roman" w:eastAsia="Times New Roman" w:hAnsi="Times New Roman" w:cs="Times New Roman"/>
        </w:rPr>
        <w:t>= 32), we calculated the equivalent 95% CI limits on the original scale as:</w:t>
      </w:r>
    </w:p>
    <w:tbl>
      <w:tblPr>
        <w:tblStyle w:val="TableGrid"/>
        <w:tblW w:w="9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853"/>
        <w:gridCol w:w="7295"/>
        <w:gridCol w:w="943"/>
      </w:tblGrid>
      <w:tr w:rsidR="0050687C" w:rsidRPr="0050687C" w14:paraId="160B3291" w14:textId="77777777" w:rsidTr="003257B4">
        <w:trPr>
          <w:trHeight w:val="385"/>
        </w:trPr>
        <w:tc>
          <w:tcPr>
            <w:tcW w:w="853" w:type="dxa"/>
          </w:tcPr>
          <w:p w14:paraId="24FB6CE6" w14:textId="77777777" w:rsidR="0050687C" w:rsidRPr="0050687C" w:rsidRDefault="0050687C" w:rsidP="0074284E">
            <w:pPr>
              <w:spacing w:line="480" w:lineRule="auto"/>
              <w:rPr>
                <w:rFonts w:ascii="Times New Roman" w:hAnsi="Times New Roman"/>
              </w:rPr>
            </w:pPr>
          </w:p>
        </w:tc>
        <w:tc>
          <w:tcPr>
            <w:tcW w:w="7295" w:type="dxa"/>
            <w:vAlign w:val="center"/>
          </w:tcPr>
          <w:p w14:paraId="5C8D6EF9" w14:textId="77777777" w:rsidR="0050687C" w:rsidRPr="0050687C" w:rsidRDefault="0050687C" w:rsidP="0074284E">
            <w:pPr>
              <w:spacing w:line="480" w:lineRule="auto"/>
              <w:rPr>
                <w:rFonts w:ascii="Times New Roman" w:hAnsi="Times New Roman"/>
              </w:rPr>
            </w:pPr>
            <m:oMathPara>
              <m:oMathParaPr>
                <m:jc m:val="center"/>
              </m:oMathParaPr>
              <m:oMath>
                <m:r>
                  <m:rPr>
                    <m:sty m:val="p"/>
                  </m:rPr>
                  <w:rPr>
                    <w:rFonts w:ascii="Cambria Math" w:hAnsi="Cambria Math"/>
                  </w:rPr>
                  <m:t xml:space="preserve">95%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lwr/upr</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SE</m:t>
                    </m:r>
                    <m:r>
                      <w:rPr>
                        <w:rFonts w:ascii="Cambria Math" w:hAnsi="Cambria Math"/>
                      </w:rPr>
                      <m:t>∙z</m:t>
                    </m:r>
                  </m:e>
                  <m:sup>
                    <m:r>
                      <w:rPr>
                        <w:rFonts w:ascii="Cambria Math" w:hAnsi="Cambria Math"/>
                      </w:rPr>
                      <m:t>*</m:t>
                    </m:r>
                  </m:sup>
                </m:sSup>
              </m:oMath>
            </m:oMathPara>
          </w:p>
        </w:tc>
        <w:tc>
          <w:tcPr>
            <w:tcW w:w="943" w:type="dxa"/>
            <w:vAlign w:val="center"/>
          </w:tcPr>
          <w:p w14:paraId="38E721DF" w14:textId="77777777" w:rsidR="0050687C" w:rsidRPr="0050687C" w:rsidRDefault="0050687C" w:rsidP="0074284E">
            <w:pPr>
              <w:spacing w:line="480" w:lineRule="auto"/>
              <w:jc w:val="right"/>
              <w:rPr>
                <w:rFonts w:ascii="Times New Roman" w:hAnsi="Times New Roman"/>
              </w:rPr>
            </w:pPr>
            <w:r w:rsidRPr="0050687C">
              <w:rPr>
                <w:rFonts w:ascii="Times New Roman" w:hAnsi="Times New Roman"/>
              </w:rPr>
              <w:t>(2)</w:t>
            </w:r>
          </w:p>
        </w:tc>
      </w:tr>
    </w:tbl>
    <w:p w14:paraId="469FB440" w14:textId="77777777" w:rsidR="0050687C" w:rsidRPr="0050687C" w:rsidRDefault="0050687C" w:rsidP="0074284E">
      <w:pPr>
        <w:spacing w:line="480" w:lineRule="auto"/>
        <w:rPr>
          <w:rFonts w:ascii="Times New Roman" w:eastAsia="Times New Roman" w:hAnsi="Times New Roman" w:cs="Times New Roman"/>
        </w:rPr>
      </w:pPr>
      <w:r w:rsidRPr="0050687C">
        <w:rPr>
          <w:rFonts w:ascii="Times New Roman" w:eastAsia="Times New Roman" w:hAnsi="Times New Roman" w:cs="Times New Roman"/>
        </w:rPr>
        <w:t xml:space="preserve">where </w:t>
      </w:r>
      <w:r w:rsidRPr="0050687C">
        <w:rPr>
          <w:rFonts w:ascii="Times New Roman" w:eastAsia="Times New Roman" w:hAnsi="Times New Roman" w:cs="Times New Roman"/>
          <w:i/>
        </w:rPr>
        <w:t>z</w:t>
      </w:r>
      <w:r w:rsidRPr="0050687C">
        <w:rPr>
          <w:rFonts w:ascii="Times New Roman" w:eastAsia="Times New Roman" w:hAnsi="Times New Roman" w:cs="Times New Roman"/>
          <w:i/>
          <w:vertAlign w:val="superscript"/>
        </w:rPr>
        <w:t>*</w:t>
      </w:r>
      <w:r w:rsidRPr="0050687C">
        <w:rPr>
          <w:rFonts w:ascii="Times New Roman" w:eastAsia="Times New Roman" w:hAnsi="Times New Roman" w:cs="Times New Roman"/>
        </w:rPr>
        <w:t xml:space="preserve"> = 1.96 in the case of large sample sizes (</w:t>
      </w:r>
      <w:r w:rsidRPr="0050687C">
        <w:rPr>
          <w:rFonts w:ascii="Times New Roman" w:eastAsia="Times New Roman" w:hAnsi="Times New Roman" w:cs="Times New Roman"/>
          <w:i/>
        </w:rPr>
        <w:t>N</w:t>
      </w:r>
      <w:r w:rsidRPr="0050687C">
        <w:rPr>
          <w:rFonts w:ascii="Times New Roman" w:eastAsia="Times New Roman" w:hAnsi="Times New Roman" w:cs="Times New Roman"/>
        </w:rPr>
        <w:t xml:space="preserve"> &gt; 30). For estimates reporting CIs (</w:t>
      </w:r>
      <w:r w:rsidRPr="0050687C">
        <w:rPr>
          <w:rFonts w:ascii="Times New Roman" w:eastAsia="Times New Roman" w:hAnsi="Times New Roman" w:cs="Times New Roman"/>
          <w:i/>
        </w:rPr>
        <w:t xml:space="preserve">n </w:t>
      </w:r>
      <w:r w:rsidRPr="0050687C">
        <w:rPr>
          <w:rFonts w:ascii="Times New Roman" w:eastAsia="Times New Roman" w:hAnsi="Times New Roman" w:cs="Times New Roman"/>
        </w:rPr>
        <w:t xml:space="preserve">= 56), we make the assumption for simplicity’s sake that frequentist 95% confidence intervals are comparable to Bayesian credible intervals </w:t>
      </w:r>
      <w:r w:rsidRPr="0050687C">
        <w:rPr>
          <w:rFonts w:ascii="Times New Roman" w:eastAsia="Times New Roman" w:hAnsi="Times New Roman" w:cs="Times New Roman"/>
        </w:rPr>
        <w:fldChar w:fldCharType="begin" w:fldLock="1"/>
      </w:r>
      <w:r w:rsidRPr="0050687C">
        <w:rPr>
          <w:rFonts w:ascii="Times New Roman" w:eastAsia="Times New Roman" w:hAnsi="Times New Roman" w:cs="Times New Roman"/>
        </w:rPr>
        <w:instrText>ADDIN CSL_CITATION {"citationItems":[{"id":"ITEM-1","itemData":{"DOI":"10.22237/jmasm/1430453220","ISSN":"15389472","abstract":"Frequentist confidence intervals were compared with Bayesian credible intervals under a variety of scenarios to determine when Bayesian credible intervals outperform frequentist confidence intervals. Results indicated that Bayesian interval estimation frequently produces results with precision greater than or equal to the frequentist method.","author":[{"dropping-particle":"","family":"Gray","given":"Kathy","non-dropping-particle":"","parse-names":false,"suffix":""},{"dropping-particle":"","family":"Hampton","given":"Brittany","non-dropping-particle":"","parse-names":false,"suffix":""},{"dropping-particle":"","family":"Silveti-Falls","given":"Tony","non-dropping-particle":"","parse-names":false,"suffix":""},{"dropping-particle":"","family":"McConnell","given":"Allison","non-dropping-particle":"","parse-names":false,"suffix":""},{"dropping-particle":"","family":"Bausell","given":"Casey","non-dropping-particle":"","parse-names":false,"suffix":""}],"container-title":"Journal of Modern Applied Statistical Methods","id":"ITEM-1","issue":"1","issued":{"date-parts":[["2015"]]},"page":"43-52","title":"Comparison of bayesian credible intervals to frequentist confidence intervals","type":"article-journal","volume":"14"},"uris":["http://www.mendeley.com/documents/?uuid=623ef3b5-4af4-4eed-9301-4b79d229bcfc"]}],"mendeley":{"formattedCitation":"(Gray et al. 2015)","plainTextFormattedCitation":"(Gray et al. 2015)","previouslyFormattedCitation":"(Gray et al. 2015)"},"properties":{"noteIndex":0},"schema":"https://github.com/citation-style-language/schema/raw/master/csl-citation.json"}</w:instrText>
      </w:r>
      <w:r w:rsidRPr="0050687C">
        <w:rPr>
          <w:rFonts w:ascii="Times New Roman" w:eastAsia="Times New Roman" w:hAnsi="Times New Roman" w:cs="Times New Roman"/>
        </w:rPr>
        <w:fldChar w:fldCharType="separate"/>
      </w:r>
      <w:r w:rsidRPr="0050687C">
        <w:rPr>
          <w:rFonts w:ascii="Times New Roman" w:eastAsia="Times New Roman" w:hAnsi="Times New Roman" w:cs="Times New Roman"/>
          <w:noProof/>
        </w:rPr>
        <w:t>(Gray et al. 2015)</w:t>
      </w:r>
      <w:r w:rsidRPr="0050687C">
        <w:rPr>
          <w:rFonts w:ascii="Times New Roman" w:eastAsia="Times New Roman" w:hAnsi="Times New Roman" w:cs="Times New Roman"/>
        </w:rPr>
        <w:fldChar w:fldCharType="end"/>
      </w:r>
      <w:r w:rsidRPr="0050687C">
        <w:rPr>
          <w:rFonts w:ascii="Times New Roman" w:eastAsia="Times New Roman" w:hAnsi="Times New Roman" w:cs="Times New Roman"/>
        </w:rPr>
        <w:t>. Next, we convert all intervals to the logarithmic scale by calculating the point estimate and the confidence/credibility interval limits, then directly convert them using the same 95% </w:t>
      </w:r>
      <w:proofErr w:type="spellStart"/>
      <w:r w:rsidRPr="0050687C">
        <w:rPr>
          <w:rFonts w:ascii="Times New Roman" w:eastAsia="Times New Roman" w:hAnsi="Times New Roman" w:cs="Times New Roman"/>
        </w:rPr>
        <w:t>CI</w:t>
      </w:r>
      <w:r w:rsidRPr="0050687C">
        <w:rPr>
          <w:rFonts w:ascii="Times New Roman" w:eastAsia="Times New Roman" w:hAnsi="Times New Roman" w:cs="Times New Roman"/>
          <w:vertAlign w:val="subscript"/>
        </w:rPr>
        <w:t>lwr</w:t>
      </w:r>
      <w:proofErr w:type="spellEnd"/>
      <w:r w:rsidRPr="0050687C">
        <w:rPr>
          <w:rFonts w:ascii="Times New Roman" w:eastAsia="Times New Roman" w:hAnsi="Times New Roman" w:cs="Times New Roman"/>
          <w:vertAlign w:val="subscript"/>
        </w:rPr>
        <w:t>/</w:t>
      </w:r>
      <w:proofErr w:type="spellStart"/>
      <w:proofErr w:type="gramStart"/>
      <w:r w:rsidRPr="0050687C">
        <w:rPr>
          <w:rFonts w:ascii="Times New Roman" w:eastAsia="Times New Roman" w:hAnsi="Times New Roman" w:cs="Times New Roman"/>
          <w:vertAlign w:val="subscript"/>
        </w:rPr>
        <w:t>upr,T</w:t>
      </w:r>
      <w:proofErr w:type="spellEnd"/>
      <w:proofErr w:type="gramEnd"/>
      <w:r w:rsidRPr="0050687C">
        <w:rPr>
          <w:rFonts w:ascii="Times New Roman" w:eastAsia="Times New Roman" w:hAnsi="Times New Roman" w:cs="Times New Roman"/>
        </w:rPr>
        <w:t xml:space="preserve"> = </w:t>
      </w:r>
      <w:r w:rsidRPr="0050687C">
        <w:rPr>
          <w:rFonts w:ascii="Times New Roman" w:eastAsia="Times New Roman" w:hAnsi="Times New Roman" w:cs="Times New Roman"/>
          <w:i/>
        </w:rPr>
        <w:t>ln</w:t>
      </w:r>
      <w:r w:rsidRPr="0050687C">
        <w:rPr>
          <w:rFonts w:ascii="Times New Roman" w:eastAsia="Times New Roman" w:hAnsi="Times New Roman" w:cs="Times New Roman"/>
        </w:rPr>
        <w:t>(95% </w:t>
      </w:r>
      <w:proofErr w:type="spellStart"/>
      <w:r w:rsidRPr="0050687C">
        <w:rPr>
          <w:rFonts w:ascii="Times New Roman" w:eastAsia="Times New Roman" w:hAnsi="Times New Roman" w:cs="Times New Roman"/>
        </w:rPr>
        <w:t>CI</w:t>
      </w:r>
      <w:r w:rsidRPr="0050687C">
        <w:rPr>
          <w:rFonts w:ascii="Times New Roman" w:eastAsia="Times New Roman" w:hAnsi="Times New Roman" w:cs="Times New Roman"/>
          <w:vertAlign w:val="subscript"/>
        </w:rPr>
        <w:t>lwr</w:t>
      </w:r>
      <w:proofErr w:type="spellEnd"/>
      <w:r w:rsidRPr="0050687C">
        <w:rPr>
          <w:rFonts w:ascii="Times New Roman" w:eastAsia="Times New Roman" w:hAnsi="Times New Roman" w:cs="Times New Roman"/>
          <w:vertAlign w:val="subscript"/>
        </w:rPr>
        <w:t>/</w:t>
      </w:r>
      <w:proofErr w:type="spellStart"/>
      <w:r w:rsidRPr="0050687C">
        <w:rPr>
          <w:rFonts w:ascii="Times New Roman" w:eastAsia="Times New Roman" w:hAnsi="Times New Roman" w:cs="Times New Roman"/>
          <w:vertAlign w:val="subscript"/>
        </w:rPr>
        <w:t>upr</w:t>
      </w:r>
      <w:proofErr w:type="spellEnd"/>
      <w:r w:rsidRPr="0050687C">
        <w:rPr>
          <w:rFonts w:ascii="Times New Roman" w:eastAsia="Times New Roman" w:hAnsi="Times New Roman" w:cs="Times New Roman"/>
        </w:rPr>
        <w:t xml:space="preserve"> + 0.2) transformation as above. Finally, we obtain the transformed standard errors (</w:t>
      </w:r>
      <w:r w:rsidRPr="0050687C">
        <w:rPr>
          <w:rFonts w:ascii="Times New Roman" w:eastAsia="Times New Roman" w:hAnsi="Times New Roman" w:cs="Times New Roman"/>
          <w:i/>
        </w:rPr>
        <w:t>SE</w:t>
      </w:r>
      <w:r w:rsidRPr="0050687C">
        <w:rPr>
          <w:rFonts w:ascii="Times New Roman" w:eastAsia="Times New Roman" w:hAnsi="Times New Roman" w:cs="Times New Roman"/>
          <w:i/>
          <w:vertAlign w:val="subscript"/>
        </w:rPr>
        <w:t>T</w:t>
      </w:r>
      <w:r w:rsidRPr="0050687C">
        <w:rPr>
          <w:rFonts w:ascii="Times New Roman" w:eastAsia="Times New Roman" w:hAnsi="Times New Roman" w:cs="Times New Roman"/>
        </w:rPr>
        <w:t>) based on a rearrangement of the previous formula:</w:t>
      </w:r>
    </w:p>
    <w:p w14:paraId="77D2D157" w14:textId="77777777" w:rsidR="0050687C" w:rsidRPr="0050687C" w:rsidRDefault="0050687C" w:rsidP="0074284E">
      <w:pPr>
        <w:spacing w:line="480" w:lineRule="auto"/>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846"/>
        <w:gridCol w:w="7229"/>
        <w:gridCol w:w="935"/>
      </w:tblGrid>
      <w:tr w:rsidR="0050687C" w:rsidRPr="0050687C" w14:paraId="16FA57D1" w14:textId="77777777" w:rsidTr="003257B4">
        <w:tc>
          <w:tcPr>
            <w:tcW w:w="846" w:type="dxa"/>
          </w:tcPr>
          <w:p w14:paraId="6DB5EB7E" w14:textId="77777777" w:rsidR="0050687C" w:rsidRPr="0050687C" w:rsidRDefault="0050687C" w:rsidP="0074284E">
            <w:pPr>
              <w:spacing w:line="480" w:lineRule="auto"/>
              <w:rPr>
                <w:rFonts w:ascii="Times New Roman" w:hAnsi="Times New Roman"/>
              </w:rPr>
            </w:pPr>
          </w:p>
        </w:tc>
        <w:tc>
          <w:tcPr>
            <w:tcW w:w="7229" w:type="dxa"/>
            <w:vAlign w:val="center"/>
          </w:tcPr>
          <w:p w14:paraId="77182865" w14:textId="77777777" w:rsidR="0050687C" w:rsidRPr="0050687C" w:rsidRDefault="00BD441D" w:rsidP="0074284E">
            <w:pPr>
              <w:spacing w:line="480" w:lineRule="auto"/>
              <w:rPr>
                <w:rFonts w:ascii="Times New Roman" w:hAnsi="Times New Roman"/>
              </w:rPr>
            </w:pPr>
            <m:oMathPara>
              <m:oMathParaPr>
                <m:jc m:val="center"/>
              </m:oMathParaPr>
              <m:oMath>
                <m:sSub>
                  <m:sSubPr>
                    <m:ctrlPr>
                      <w:rPr>
                        <w:rFonts w:ascii="Cambria Math" w:hAnsi="Cambria Math"/>
                        <w:i/>
                      </w:rPr>
                    </m:ctrlPr>
                  </m:sSubPr>
                  <m:e>
                    <m:r>
                      <w:rPr>
                        <w:rFonts w:ascii="Cambria Math" w:hAnsi="Cambria Math"/>
                      </w:rPr>
                      <m:t>SE</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95% CI range</m:t>
                        </m:r>
                      </m:e>
                      <m:sub>
                        <m:r>
                          <w:rPr>
                            <w:rFonts w:ascii="Cambria Math" w:hAnsi="Cambria Math"/>
                          </w:rPr>
                          <m:t>T</m:t>
                        </m:r>
                      </m:sub>
                    </m:sSub>
                  </m:num>
                  <m:den>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m:t>
                        </m:r>
                      </m:sup>
                    </m:sSup>
                  </m:den>
                </m:f>
              </m:oMath>
            </m:oMathPara>
          </w:p>
          <w:p w14:paraId="74D2B2FC" w14:textId="77777777" w:rsidR="0050687C" w:rsidRPr="0050687C" w:rsidRDefault="0050687C" w:rsidP="0074284E">
            <w:pPr>
              <w:spacing w:line="480" w:lineRule="auto"/>
              <w:rPr>
                <w:rFonts w:ascii="Times New Roman" w:hAnsi="Times New Roman"/>
              </w:rPr>
            </w:pPr>
          </w:p>
        </w:tc>
        <w:tc>
          <w:tcPr>
            <w:tcW w:w="935" w:type="dxa"/>
            <w:vAlign w:val="center"/>
          </w:tcPr>
          <w:p w14:paraId="522956F8" w14:textId="77777777" w:rsidR="0050687C" w:rsidRPr="0050687C" w:rsidRDefault="0050687C" w:rsidP="0074284E">
            <w:pPr>
              <w:spacing w:line="480" w:lineRule="auto"/>
              <w:jc w:val="right"/>
              <w:rPr>
                <w:rFonts w:ascii="Times New Roman" w:hAnsi="Times New Roman"/>
              </w:rPr>
            </w:pPr>
            <w:r w:rsidRPr="0050687C">
              <w:rPr>
                <w:rFonts w:ascii="Times New Roman" w:hAnsi="Times New Roman"/>
              </w:rPr>
              <w:t>(3)</w:t>
            </w:r>
          </w:p>
        </w:tc>
      </w:tr>
    </w:tbl>
    <w:p w14:paraId="5865B2FA" w14:textId="64A8A8CD" w:rsidR="00DA01FB" w:rsidRDefault="0050687C" w:rsidP="0074284E">
      <w:pPr>
        <w:spacing w:line="480" w:lineRule="auto"/>
        <w:rPr>
          <w:rFonts w:ascii="Times New Roman" w:eastAsia="Times New Roman" w:hAnsi="Times New Roman" w:cs="Times New Roman"/>
        </w:rPr>
      </w:pPr>
      <w:r w:rsidRPr="0050687C">
        <w:rPr>
          <w:rFonts w:ascii="Times New Roman" w:eastAsia="Times New Roman" w:hAnsi="Times New Roman" w:cs="Times New Roman"/>
        </w:rPr>
        <w:t xml:space="preserve">For example, a heritability estimate and 95% CI of </w:t>
      </w:r>
      <w:r w:rsidRPr="0050687C">
        <w:rPr>
          <w:rFonts w:ascii="Times New Roman" w:eastAsia="Times New Roman" w:hAnsi="Times New Roman" w:cs="Times New Roman"/>
          <w:i/>
        </w:rPr>
        <w:t>h</w:t>
      </w:r>
      <w:r w:rsidRPr="0050687C">
        <w:rPr>
          <w:rFonts w:ascii="Times New Roman" w:eastAsia="Times New Roman" w:hAnsi="Times New Roman" w:cs="Times New Roman"/>
          <w:i/>
          <w:vertAlign w:val="superscript"/>
        </w:rPr>
        <w:t>2</w:t>
      </w:r>
      <w:r w:rsidRPr="0050687C">
        <w:rPr>
          <w:rFonts w:ascii="Times New Roman" w:eastAsia="Times New Roman" w:hAnsi="Times New Roman" w:cs="Times New Roman"/>
        </w:rPr>
        <w:t xml:space="preserve"> = 0.25 [0.1,0.4] would be transformed using the </w:t>
      </w:r>
      <w:r w:rsidRPr="00350AAD">
        <w:rPr>
          <w:rFonts w:ascii="Times New Roman" w:eastAsia="Times New Roman" w:hAnsi="Times New Roman" w:cs="Times New Roman"/>
          <w:i/>
        </w:rPr>
        <w:t>ln</w:t>
      </w:r>
      <w:r w:rsidRPr="0050687C">
        <w:rPr>
          <w:rFonts w:ascii="Times New Roman" w:eastAsia="Times New Roman" w:hAnsi="Times New Roman" w:cs="Times New Roman"/>
        </w:rPr>
        <w:t>[</w:t>
      </w:r>
      <w:r w:rsidRPr="00350AAD">
        <w:rPr>
          <w:rFonts w:ascii="Times New Roman" w:eastAsia="Times New Roman" w:hAnsi="Times New Roman" w:cs="Times New Roman"/>
          <w:i/>
        </w:rPr>
        <w:t>h</w:t>
      </w:r>
      <w:r w:rsidRPr="00350AAD">
        <w:rPr>
          <w:rFonts w:ascii="Times New Roman" w:eastAsia="Times New Roman" w:hAnsi="Times New Roman" w:cs="Times New Roman"/>
          <w:i/>
          <w:vertAlign w:val="superscript"/>
        </w:rPr>
        <w:t>2</w:t>
      </w:r>
      <w:r w:rsidRPr="0050687C">
        <w:rPr>
          <w:rFonts w:ascii="Times New Roman" w:eastAsia="Times New Roman" w:hAnsi="Times New Roman" w:cs="Times New Roman"/>
        </w:rPr>
        <w:t xml:space="preserve">+0.2] transform to </w:t>
      </w:r>
      <w:r w:rsidRPr="0050687C">
        <w:rPr>
          <w:rFonts w:ascii="Times New Roman" w:eastAsia="Times New Roman" w:hAnsi="Times New Roman" w:cs="Times New Roman"/>
          <w:i/>
        </w:rPr>
        <w:t>h</w:t>
      </w:r>
      <w:r w:rsidRPr="0050687C">
        <w:rPr>
          <w:rFonts w:ascii="Times New Roman" w:eastAsia="Times New Roman" w:hAnsi="Times New Roman" w:cs="Times New Roman"/>
          <w:i/>
          <w:vertAlign w:val="superscript"/>
        </w:rPr>
        <w:t>2</w:t>
      </w:r>
      <w:r w:rsidRPr="0050687C">
        <w:rPr>
          <w:rFonts w:ascii="Times New Roman" w:eastAsia="Times New Roman" w:hAnsi="Times New Roman" w:cs="Times New Roman"/>
          <w:i/>
          <w:vertAlign w:val="subscript"/>
        </w:rPr>
        <w:t>T</w:t>
      </w:r>
      <w:r w:rsidRPr="0050687C">
        <w:rPr>
          <w:rFonts w:ascii="Times New Roman" w:eastAsia="Times New Roman" w:hAnsi="Times New Roman" w:cs="Times New Roman"/>
        </w:rPr>
        <w:t xml:space="preserve"> = –0.80 [–1.</w:t>
      </w:r>
      <w:proofErr w:type="gramStart"/>
      <w:r w:rsidRPr="0050687C">
        <w:rPr>
          <w:rFonts w:ascii="Times New Roman" w:eastAsia="Times New Roman" w:hAnsi="Times New Roman" w:cs="Times New Roman"/>
        </w:rPr>
        <w:t>2,–</w:t>
      </w:r>
      <w:proofErr w:type="gramEnd"/>
      <w:r w:rsidRPr="0050687C">
        <w:rPr>
          <w:rFonts w:ascii="Times New Roman" w:eastAsia="Times New Roman" w:hAnsi="Times New Roman" w:cs="Times New Roman"/>
        </w:rPr>
        <w:t>0.51], then SE</w:t>
      </w:r>
      <w:r w:rsidRPr="0050687C">
        <w:rPr>
          <w:rFonts w:ascii="Times New Roman" w:eastAsia="Times New Roman" w:hAnsi="Times New Roman" w:cs="Times New Roman"/>
          <w:vertAlign w:val="subscript"/>
        </w:rPr>
        <w:t xml:space="preserve">T </w:t>
      </w:r>
      <w:r w:rsidRPr="0050687C">
        <w:rPr>
          <w:rFonts w:ascii="Times New Roman" w:eastAsia="Times New Roman" w:hAnsi="Times New Roman" w:cs="Times New Roman"/>
        </w:rPr>
        <w:t>computed as: [–0.51 – (–1.2)]/(2*1.96) = 0.176.</w:t>
      </w:r>
    </w:p>
    <w:p w14:paraId="05DBB6B1" w14:textId="5DB4302A" w:rsidR="0050687C" w:rsidRDefault="0050687C" w:rsidP="0074284E">
      <w:pPr>
        <w:widowControl w:val="0"/>
        <w:autoSpaceDE w:val="0"/>
        <w:autoSpaceDN w:val="0"/>
        <w:adjustRightInd w:val="0"/>
        <w:spacing w:line="480" w:lineRule="auto"/>
        <w:ind w:left="720" w:hanging="720"/>
        <w:rPr>
          <w:rFonts w:ascii="Times New Roman" w:hAnsi="Times New Roman" w:cs="Times New Roman"/>
          <w:b/>
        </w:rPr>
      </w:pPr>
      <w:r>
        <w:rPr>
          <w:rFonts w:ascii="Times New Roman" w:hAnsi="Times New Roman" w:cs="Times New Roman"/>
          <w:b/>
        </w:rPr>
        <w:br w:type="page"/>
      </w:r>
    </w:p>
    <w:p w14:paraId="3D423B72" w14:textId="0363126D" w:rsidR="00866D4C" w:rsidRPr="0074284E" w:rsidRDefault="001308B0" w:rsidP="0074284E">
      <w:pPr>
        <w:spacing w:line="480" w:lineRule="auto"/>
        <w:rPr>
          <w:rFonts w:ascii="Times New Roman" w:hAnsi="Times New Roman" w:cs="Times New Roman"/>
          <w:b/>
        </w:rPr>
      </w:pPr>
      <w:r>
        <w:rPr>
          <w:rFonts w:ascii="Times New Roman" w:hAnsi="Times New Roman" w:cs="Times New Roman"/>
          <w:b/>
        </w:rPr>
        <w:lastRenderedPageBreak/>
        <w:t>Supplementary Text S</w:t>
      </w:r>
      <w:r w:rsidR="0074284E">
        <w:rPr>
          <w:rFonts w:ascii="Times New Roman" w:hAnsi="Times New Roman" w:cs="Times New Roman"/>
          <w:b/>
        </w:rPr>
        <w:t>3</w:t>
      </w:r>
      <w:r w:rsidR="0050687C">
        <w:rPr>
          <w:rFonts w:ascii="Times New Roman" w:hAnsi="Times New Roman" w:cs="Times New Roman"/>
          <w:b/>
        </w:rPr>
        <w:t xml:space="preserve">: </w:t>
      </w:r>
      <w:r w:rsidR="00866D4C" w:rsidRPr="00866D4C">
        <w:rPr>
          <w:rFonts w:ascii="Times New Roman" w:hAnsi="Times New Roman" w:cs="Times New Roman"/>
          <w:b/>
        </w:rPr>
        <w:t xml:space="preserve">Model </w:t>
      </w:r>
      <w:r w:rsidR="00B73F0D">
        <w:rPr>
          <w:rFonts w:ascii="Times New Roman" w:hAnsi="Times New Roman" w:cs="Times New Roman"/>
          <w:b/>
        </w:rPr>
        <w:t xml:space="preserve">selection </w:t>
      </w:r>
      <w:r w:rsidR="00866D4C" w:rsidRPr="00866D4C">
        <w:rPr>
          <w:rFonts w:ascii="Times New Roman" w:hAnsi="Times New Roman" w:cs="Times New Roman"/>
          <w:b/>
        </w:rPr>
        <w:t xml:space="preserve">results of trait type </w:t>
      </w:r>
      <w:r w:rsidR="00B73F0D" w:rsidRPr="00D948A6">
        <w:t>×</w:t>
      </w:r>
      <w:r w:rsidR="00866D4C" w:rsidRPr="00866D4C">
        <w:rPr>
          <w:rFonts w:ascii="Times New Roman" w:hAnsi="Times New Roman" w:cs="Times New Roman"/>
          <w:b/>
        </w:rPr>
        <w:t xml:space="preserve"> heritability type and trait type </w:t>
      </w:r>
      <w:r w:rsidR="00B73F0D" w:rsidRPr="00D948A6">
        <w:t>×</w:t>
      </w:r>
      <w:r w:rsidR="00866D4C" w:rsidRPr="00866D4C">
        <w:rPr>
          <w:rFonts w:ascii="Times New Roman" w:hAnsi="Times New Roman" w:cs="Times New Roman"/>
          <w:b/>
        </w:rPr>
        <w:t xml:space="preserve"> growth form</w:t>
      </w:r>
    </w:p>
    <w:p w14:paraId="0C7475B8" w14:textId="6109632B" w:rsidR="00866D4C" w:rsidRPr="00866D4C" w:rsidRDefault="00866D4C" w:rsidP="0074284E">
      <w:pPr>
        <w:spacing w:line="480" w:lineRule="auto"/>
        <w:ind w:firstLine="720"/>
        <w:rPr>
          <w:rFonts w:ascii="Times New Roman" w:hAnsi="Times New Roman" w:cs="Times New Roman"/>
          <w:color w:val="000000" w:themeColor="text1"/>
        </w:rPr>
      </w:pPr>
      <w:r w:rsidRPr="00866D4C">
        <w:rPr>
          <w:rFonts w:ascii="Times New Roman" w:hAnsi="Times New Roman" w:cs="Times New Roman"/>
        </w:rPr>
        <w:t xml:space="preserve">Model selection to examine possible trait type × heritability type interactions used a subset of data that also allowed the inclusion of a trait type × life stage interaction. We did not fit a three-way interaction of the above factors, given that there were no studies for some combinations of levels of the three factors. </w:t>
      </w:r>
      <w:r w:rsidRPr="00BD441D">
        <w:rPr>
          <w:rFonts w:ascii="Times New Roman" w:hAnsi="Times New Roman" w:cs="Times New Roman"/>
        </w:rPr>
        <w:t xml:space="preserve">Model selection supported the model of trait type × life stage (Table S5). </w:t>
      </w:r>
      <w:r w:rsidRPr="00BD441D">
        <w:rPr>
          <w:rFonts w:ascii="Times New Roman" w:hAnsi="Times New Roman" w:cs="Times New Roman"/>
          <w:color w:val="000000" w:themeColor="text1"/>
        </w:rPr>
        <w:t>This model again had significant residual heterogeneity (</w:t>
      </w:r>
      <w:r w:rsidRPr="00BD441D">
        <w:rPr>
          <w:rFonts w:ascii="Times New Roman" w:hAnsi="Times New Roman" w:cs="Times New Roman"/>
          <w:i/>
          <w:color w:val="000000" w:themeColor="text1"/>
        </w:rPr>
        <w:t>QE</w:t>
      </w:r>
      <w:r w:rsidR="00EE5B29" w:rsidRPr="00BD441D">
        <w:rPr>
          <w:rFonts w:ascii="Times New Roman" w:hAnsi="Times New Roman" w:cs="Times New Roman"/>
          <w:i/>
          <w:color w:val="000000" w:themeColor="text1"/>
          <w:vertAlign w:val="subscript"/>
        </w:rPr>
        <w:t>51</w:t>
      </w:r>
      <w:r w:rsidRPr="00BD441D">
        <w:rPr>
          <w:rFonts w:ascii="Times New Roman" w:hAnsi="Times New Roman" w:cs="Times New Roman"/>
          <w:color w:val="000000" w:themeColor="text1"/>
        </w:rPr>
        <w:t xml:space="preserve"> = 9</w:t>
      </w:r>
      <w:r w:rsidR="00EE5B29" w:rsidRPr="00BD441D">
        <w:rPr>
          <w:rFonts w:ascii="Times New Roman" w:hAnsi="Times New Roman" w:cs="Times New Roman"/>
          <w:color w:val="000000" w:themeColor="text1"/>
        </w:rPr>
        <w:t>8</w:t>
      </w:r>
      <w:r w:rsidRPr="00BD441D">
        <w:rPr>
          <w:rFonts w:ascii="Times New Roman" w:hAnsi="Times New Roman" w:cs="Times New Roman"/>
          <w:color w:val="000000" w:themeColor="text1"/>
        </w:rPr>
        <w:t xml:space="preserve">, </w:t>
      </w:r>
      <w:r w:rsidRPr="00BD441D">
        <w:rPr>
          <w:rFonts w:ascii="Times New Roman" w:hAnsi="Times New Roman" w:cs="Times New Roman"/>
          <w:i/>
          <w:color w:val="000000" w:themeColor="text1"/>
        </w:rPr>
        <w:t>p</w:t>
      </w:r>
      <w:r w:rsidRPr="00BD441D">
        <w:rPr>
          <w:rFonts w:ascii="Times New Roman" w:hAnsi="Times New Roman" w:cs="Times New Roman"/>
          <w:color w:val="000000" w:themeColor="text1"/>
        </w:rPr>
        <w:t xml:space="preserve"> </w:t>
      </w:r>
      <w:r w:rsidR="00EE5B29" w:rsidRPr="00BD441D">
        <w:rPr>
          <w:rFonts w:ascii="Times New Roman" w:hAnsi="Times New Roman" w:cs="Times New Roman"/>
          <w:color w:val="000000" w:themeColor="text1"/>
        </w:rPr>
        <w:t>&lt;</w:t>
      </w:r>
      <w:r w:rsidRPr="00BD441D">
        <w:rPr>
          <w:rFonts w:ascii="Times New Roman" w:hAnsi="Times New Roman" w:cs="Times New Roman"/>
          <w:color w:val="000000" w:themeColor="text1"/>
        </w:rPr>
        <w:t xml:space="preserve"> 0.000</w:t>
      </w:r>
      <w:r w:rsidR="00EE5B29" w:rsidRPr="00BD441D">
        <w:rPr>
          <w:rFonts w:ascii="Times New Roman" w:hAnsi="Times New Roman" w:cs="Times New Roman"/>
          <w:color w:val="000000" w:themeColor="text1"/>
        </w:rPr>
        <w:t>1</w:t>
      </w:r>
      <w:r w:rsidRPr="00BD441D">
        <w:rPr>
          <w:rFonts w:ascii="Times New Roman" w:hAnsi="Times New Roman" w:cs="Times New Roman"/>
          <w:color w:val="000000" w:themeColor="text1"/>
        </w:rPr>
        <w:t xml:space="preserve">; </w:t>
      </w:r>
      <w:r w:rsidRPr="00BD441D">
        <w:rPr>
          <w:rFonts w:ascii="Times New Roman" w:hAnsi="Times New Roman" w:cs="Times New Roman"/>
          <w:i/>
          <w:color w:val="000000" w:themeColor="text1"/>
        </w:rPr>
        <w:t>I</w:t>
      </w:r>
      <w:r w:rsidRPr="00BD441D">
        <w:rPr>
          <w:rFonts w:ascii="Times New Roman" w:hAnsi="Times New Roman" w:cs="Times New Roman"/>
          <w:i/>
          <w:color w:val="000000" w:themeColor="text1"/>
          <w:vertAlign w:val="superscript"/>
        </w:rPr>
        <w:t>2</w:t>
      </w:r>
      <w:r w:rsidR="00EE5B29" w:rsidRPr="00BD441D">
        <w:rPr>
          <w:rFonts w:ascii="Times New Roman" w:hAnsi="Times New Roman" w:cs="Times New Roman"/>
          <w:i/>
          <w:color w:val="000000" w:themeColor="text1"/>
        </w:rPr>
        <w:t xml:space="preserve"> </w:t>
      </w:r>
      <w:r w:rsidRPr="00BD441D">
        <w:rPr>
          <w:rFonts w:ascii="Times New Roman" w:hAnsi="Times New Roman" w:cs="Times New Roman"/>
          <w:color w:val="000000" w:themeColor="text1"/>
        </w:rPr>
        <w:t xml:space="preserve">= </w:t>
      </w:r>
      <w:r w:rsidR="00EE5B29" w:rsidRPr="00BD441D">
        <w:rPr>
          <w:rFonts w:ascii="Times New Roman" w:hAnsi="Times New Roman" w:cs="Times New Roman"/>
          <w:color w:val="000000" w:themeColor="text1"/>
        </w:rPr>
        <w:t>59</w:t>
      </w:r>
      <w:r w:rsidRPr="00BD441D">
        <w:rPr>
          <w:rFonts w:ascii="Times New Roman" w:hAnsi="Times New Roman" w:cs="Times New Roman"/>
          <w:color w:val="000000" w:themeColor="text1"/>
        </w:rPr>
        <w:t>%</w:t>
      </w:r>
      <w:r w:rsidR="00EE5B29" w:rsidRPr="00BD441D">
        <w:rPr>
          <w:rFonts w:ascii="Times New Roman" w:hAnsi="Times New Roman" w:cs="Times New Roman"/>
          <w:color w:val="000000" w:themeColor="text1"/>
        </w:rPr>
        <w:t xml:space="preserve">; </w:t>
      </w:r>
      <w:r w:rsidR="00EE5B29" w:rsidRPr="00BD441D">
        <w:rPr>
          <w:rFonts w:ascii="Times New Roman" w:hAnsi="Times New Roman" w:cs="Times New Roman"/>
          <w:i/>
          <w:color w:val="000000" w:themeColor="text1"/>
        </w:rPr>
        <w:t>R</w:t>
      </w:r>
      <w:r w:rsidR="00EE5B29" w:rsidRPr="00BD441D">
        <w:rPr>
          <w:rFonts w:ascii="Times New Roman" w:hAnsi="Times New Roman" w:cs="Times New Roman"/>
          <w:i/>
          <w:color w:val="000000" w:themeColor="text1"/>
          <w:vertAlign w:val="superscript"/>
        </w:rPr>
        <w:t>2</w:t>
      </w:r>
      <w:r w:rsidR="00EE5B29" w:rsidRPr="00BD441D">
        <w:rPr>
          <w:rFonts w:ascii="Times New Roman" w:hAnsi="Times New Roman" w:cs="Times New Roman"/>
          <w:color w:val="000000" w:themeColor="text1"/>
        </w:rPr>
        <w:t xml:space="preserve"> = 71%</w:t>
      </w:r>
      <w:proofErr w:type="gramStart"/>
      <w:r w:rsidRPr="00BD441D">
        <w:rPr>
          <w:rFonts w:ascii="Times New Roman" w:hAnsi="Times New Roman" w:cs="Times New Roman"/>
          <w:color w:val="000000" w:themeColor="text1"/>
        </w:rPr>
        <w:t>), and</w:t>
      </w:r>
      <w:proofErr w:type="gramEnd"/>
      <w:r w:rsidRPr="00BD441D">
        <w:rPr>
          <w:rFonts w:ascii="Times New Roman" w:hAnsi="Times New Roman" w:cs="Times New Roman"/>
          <w:color w:val="000000" w:themeColor="text1"/>
        </w:rPr>
        <w:t xml:space="preserve"> had </w:t>
      </w:r>
      <w:r w:rsidRPr="00BD441D">
        <w:rPr>
          <w:rFonts w:ascii="Times New Roman" w:hAnsi="Times New Roman" w:cs="Times New Roman"/>
        </w:rPr>
        <w:t>coefficient values similar to the previous model of trait type × life stage + heritability type (Fig. S4; Table S6)</w:t>
      </w:r>
      <w:r w:rsidR="00BD441D" w:rsidRPr="00BD441D">
        <w:rPr>
          <w:rFonts w:ascii="Times New Roman" w:hAnsi="Times New Roman" w:cs="Times New Roman"/>
        </w:rPr>
        <w:t>.</w:t>
      </w:r>
      <w:r w:rsidRPr="00BD441D">
        <w:rPr>
          <w:rFonts w:ascii="Times New Roman" w:hAnsi="Times New Roman" w:cs="Times New Roman"/>
        </w:rPr>
        <w:t xml:space="preserve"> </w:t>
      </w:r>
      <w:r w:rsidR="00BD441D" w:rsidRPr="00BD441D">
        <w:rPr>
          <w:rFonts w:ascii="Times New Roman" w:hAnsi="Times New Roman" w:cs="Times New Roman"/>
        </w:rPr>
        <w:t>T</w:t>
      </w:r>
      <w:r w:rsidR="00E331C5" w:rsidRPr="00BD441D">
        <w:rPr>
          <w:rFonts w:ascii="Times New Roman" w:hAnsi="Times New Roman" w:cs="Times New Roman"/>
        </w:rPr>
        <w:t xml:space="preserve">here was one highly </w:t>
      </w:r>
      <w:r w:rsidRPr="00BD441D">
        <w:rPr>
          <w:rFonts w:ascii="Times New Roman" w:hAnsi="Times New Roman" w:cs="Times New Roman"/>
          <w:color w:val="000000" w:themeColor="text1"/>
        </w:rPr>
        <w:t>influential point</w:t>
      </w:r>
      <w:r w:rsidR="00AB0D04" w:rsidRPr="00BD441D">
        <w:rPr>
          <w:rFonts w:ascii="Times New Roman" w:hAnsi="Times New Roman" w:cs="Times New Roman"/>
          <w:color w:val="000000" w:themeColor="text1"/>
        </w:rPr>
        <w:t xml:space="preserve"> for adult bleaching (</w:t>
      </w:r>
      <w:r w:rsidRPr="00BD441D">
        <w:rPr>
          <w:rFonts w:ascii="Times New Roman" w:hAnsi="Times New Roman" w:cs="Times New Roman"/>
          <w:color w:val="000000" w:themeColor="text1"/>
        </w:rPr>
        <w:t xml:space="preserve">Cook’s distance </w:t>
      </w:r>
      <w:r w:rsidR="00AB0D04" w:rsidRPr="00BD441D">
        <w:rPr>
          <w:rFonts w:ascii="Times New Roman" w:hAnsi="Times New Roman" w:cs="Times New Roman"/>
          <w:color w:val="000000" w:themeColor="text1"/>
        </w:rPr>
        <w:t>= 3.7</w:t>
      </w:r>
      <w:r w:rsidRPr="00BD441D">
        <w:rPr>
          <w:rFonts w:ascii="Times New Roman" w:hAnsi="Times New Roman" w:cs="Times New Roman"/>
          <w:color w:val="000000" w:themeColor="text1"/>
        </w:rPr>
        <w:t xml:space="preserve">). </w:t>
      </w:r>
      <w:r w:rsidR="00BD441D" w:rsidRPr="00BD441D">
        <w:rPr>
          <w:rFonts w:ascii="Times New Roman" w:hAnsi="Times New Roman" w:cs="Times New Roman"/>
        </w:rPr>
        <w:t>However</w:t>
      </w:r>
      <w:r w:rsidR="00BD441D" w:rsidRPr="00BD441D">
        <w:rPr>
          <w:rFonts w:ascii="Times New Roman" w:hAnsi="Times New Roman" w:cs="Times New Roman"/>
          <w:color w:val="000000" w:themeColor="text1"/>
        </w:rPr>
        <w:t>, w</w:t>
      </w:r>
      <w:r w:rsidRPr="00BD441D">
        <w:rPr>
          <w:rFonts w:ascii="Times New Roman" w:hAnsi="Times New Roman" w:cs="Times New Roman"/>
          <w:color w:val="000000" w:themeColor="text1"/>
        </w:rPr>
        <w:t xml:space="preserve">hen </w:t>
      </w:r>
      <w:r w:rsidR="00AB0D04" w:rsidRPr="00BD441D">
        <w:rPr>
          <w:rFonts w:ascii="Times New Roman" w:hAnsi="Times New Roman" w:cs="Times New Roman"/>
          <w:color w:val="000000" w:themeColor="text1"/>
        </w:rPr>
        <w:t>this point was removed</w:t>
      </w:r>
      <w:r w:rsidRPr="00BD441D">
        <w:rPr>
          <w:rFonts w:ascii="Times New Roman" w:hAnsi="Times New Roman" w:cs="Times New Roman"/>
          <w:color w:val="000000" w:themeColor="text1"/>
        </w:rPr>
        <w:t xml:space="preserve">, </w:t>
      </w:r>
      <w:r w:rsidR="00BD441D" w:rsidRPr="00BD441D">
        <w:rPr>
          <w:rFonts w:ascii="Times New Roman" w:hAnsi="Times New Roman" w:cs="Times New Roman"/>
          <w:color w:val="000000" w:themeColor="text1"/>
        </w:rPr>
        <w:t>both juvenile bleaching and growth remained significantly low</w:t>
      </w:r>
      <w:r w:rsidRPr="00BD441D">
        <w:rPr>
          <w:rFonts w:ascii="Times New Roman" w:hAnsi="Times New Roman" w:cs="Times New Roman"/>
          <w:color w:val="000000" w:themeColor="text1"/>
        </w:rPr>
        <w:t>. The fail-safe number was again large, indicating robustness to any publication bias (1</w:t>
      </w:r>
      <w:r w:rsidR="00E331C5" w:rsidRPr="00BD441D">
        <w:rPr>
          <w:rFonts w:ascii="Times New Roman" w:hAnsi="Times New Roman" w:cs="Times New Roman"/>
          <w:color w:val="000000" w:themeColor="text1"/>
        </w:rPr>
        <w:t>27</w:t>
      </w:r>
      <w:r w:rsidRPr="00BD441D">
        <w:rPr>
          <w:rFonts w:ascii="Times New Roman" w:hAnsi="Times New Roman" w:cs="Times New Roman"/>
          <w:color w:val="000000" w:themeColor="text1"/>
        </w:rPr>
        <w:t xml:space="preserve"> &gt; 100). </w:t>
      </w:r>
      <w:r w:rsidR="00BD441D" w:rsidRPr="00BD441D">
        <w:rPr>
          <w:rFonts w:ascii="Times New Roman" w:hAnsi="Times New Roman" w:cs="Times New Roman"/>
          <w:color w:val="000000" w:themeColor="text1"/>
        </w:rPr>
        <w:t>Additionally</w:t>
      </w:r>
      <w:r w:rsidRPr="00BD441D">
        <w:rPr>
          <w:rFonts w:ascii="Times New Roman" w:hAnsi="Times New Roman" w:cs="Times New Roman"/>
          <w:color w:val="000000" w:themeColor="text1"/>
        </w:rPr>
        <w:t xml:space="preserve">, the outcome of model selection was unchanged when data were re-analyzed without </w:t>
      </w:r>
      <w:r w:rsidR="00BD441D" w:rsidRPr="00BD441D">
        <w:rPr>
          <w:rFonts w:ascii="Times New Roman" w:hAnsi="Times New Roman" w:cs="Times New Roman"/>
          <w:color w:val="000000" w:themeColor="text1"/>
        </w:rPr>
        <w:t>this estimate</w:t>
      </w:r>
      <w:r w:rsidRPr="00BD441D">
        <w:rPr>
          <w:rFonts w:ascii="Times New Roman" w:hAnsi="Times New Roman" w:cs="Times New Roman"/>
          <w:color w:val="000000" w:themeColor="text1"/>
        </w:rPr>
        <w:t>.</w:t>
      </w:r>
    </w:p>
    <w:p w14:paraId="6AD4CCC9" w14:textId="3560AFBE" w:rsidR="00866D4C" w:rsidRDefault="00866D4C" w:rsidP="0074284E">
      <w:pPr>
        <w:spacing w:line="480" w:lineRule="auto"/>
        <w:ind w:firstLine="720"/>
        <w:rPr>
          <w:rFonts w:ascii="Times New Roman" w:hAnsi="Times New Roman" w:cs="Times New Roman"/>
        </w:rPr>
      </w:pPr>
      <w:r w:rsidRPr="00866D4C">
        <w:rPr>
          <w:rFonts w:ascii="Times New Roman" w:hAnsi="Times New Roman" w:cs="Times New Roman"/>
        </w:rPr>
        <w:t>Finally, we tested for possible trait type × growth form interactions. Again, no three-way interactions were poss</w:t>
      </w:r>
      <w:bookmarkStart w:id="0" w:name="_GoBack"/>
      <w:bookmarkEnd w:id="0"/>
      <w:r w:rsidRPr="00866D4C">
        <w:rPr>
          <w:rFonts w:ascii="Times New Roman" w:hAnsi="Times New Roman" w:cs="Times New Roman"/>
        </w:rPr>
        <w:t>ible given the combinations of levels of factors with adequate representation in the data. There were limited estimates for some growth forms, such as for columnar (n=3 estimates) and encrusting (n=1) corals, thus these levels (and thus the corresponding estimates) were excluded in order to examine a complete trait type × growth form interaction. Thus, we examined interactions across branching (n=8), corymbose (n=32), and massive (n=14) coral growth forms for five traits: bleaching, growth, nutrient content, survival, and symbiont community, and this also allowed interactions of trait × life stage and trait × heritability type. Similar to results of our previously reported analysis, a model of trait type × life stage was the most strongly supported by the data (Table S7-S8; Fig. S5).</w:t>
      </w:r>
    </w:p>
    <w:p w14:paraId="5942DBBF" w14:textId="74F5126A" w:rsidR="0074284E" w:rsidRDefault="0074284E">
      <w:pPr>
        <w:rPr>
          <w:rFonts w:ascii="Times New Roman" w:hAnsi="Times New Roman" w:cs="Times New Roman"/>
        </w:rPr>
      </w:pPr>
      <w:r>
        <w:rPr>
          <w:rFonts w:ascii="Times New Roman" w:hAnsi="Times New Roman" w:cs="Times New Roman"/>
        </w:rPr>
        <w:br w:type="page"/>
      </w:r>
    </w:p>
    <w:p w14:paraId="6BF915B1" w14:textId="77777777" w:rsidR="0074284E" w:rsidRDefault="0074284E" w:rsidP="0074284E">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References</w:t>
      </w:r>
    </w:p>
    <w:p w14:paraId="4DC21020" w14:textId="77777777" w:rsidR="0074284E" w:rsidRPr="00DA01FB" w:rsidRDefault="0074284E" w:rsidP="0074284E">
      <w:pPr>
        <w:widowControl w:val="0"/>
        <w:autoSpaceDE w:val="0"/>
        <w:autoSpaceDN w:val="0"/>
        <w:adjustRightInd w:val="0"/>
        <w:spacing w:line="480" w:lineRule="auto"/>
        <w:ind w:left="720" w:hanging="720"/>
        <w:rPr>
          <w:rFonts w:ascii="Times New Roman" w:hAnsi="Times New Roman" w:cs="Times New Roman"/>
          <w:noProof/>
          <w:lang w:val="en-US"/>
        </w:rPr>
      </w:pPr>
      <w:r>
        <w:rPr>
          <w:rFonts w:ascii="Times New Roman" w:eastAsia="Times New Roman" w:hAnsi="Times New Roman" w:cs="Times New Roman"/>
        </w:rPr>
        <w:fldChar w:fldCharType="begin" w:fldLock="1"/>
      </w:r>
      <w:r>
        <w:rPr>
          <w:rFonts w:ascii="Times New Roman" w:eastAsia="Times New Roman" w:hAnsi="Times New Roman" w:cs="Times New Roman"/>
        </w:rPr>
        <w:instrText xml:space="preserve">ADDIN Mendeley Bibliography CSL_BIBLIOGRAPHY </w:instrText>
      </w:r>
      <w:r>
        <w:rPr>
          <w:rFonts w:ascii="Times New Roman" w:eastAsia="Times New Roman" w:hAnsi="Times New Roman" w:cs="Times New Roman"/>
        </w:rPr>
        <w:fldChar w:fldCharType="separate"/>
      </w:r>
      <w:r w:rsidRPr="00DA01FB">
        <w:rPr>
          <w:rFonts w:ascii="Times New Roman" w:hAnsi="Times New Roman" w:cs="Times New Roman"/>
          <w:noProof/>
          <w:lang w:val="en-US"/>
        </w:rPr>
        <w:t>Falconer DS, Mackay TF. 1996. Introduction to Quantitative Genetics. Essex, UK: Longman.</w:t>
      </w:r>
    </w:p>
    <w:p w14:paraId="28F179F6" w14:textId="77777777" w:rsidR="0074284E" w:rsidRPr="00DA01FB" w:rsidRDefault="0074284E" w:rsidP="0074284E">
      <w:pPr>
        <w:widowControl w:val="0"/>
        <w:autoSpaceDE w:val="0"/>
        <w:autoSpaceDN w:val="0"/>
        <w:adjustRightInd w:val="0"/>
        <w:spacing w:line="480" w:lineRule="auto"/>
        <w:ind w:left="720" w:hanging="720"/>
        <w:rPr>
          <w:rFonts w:ascii="Times New Roman" w:hAnsi="Times New Roman" w:cs="Times New Roman"/>
          <w:noProof/>
          <w:lang w:val="en-US"/>
        </w:rPr>
      </w:pPr>
      <w:r w:rsidRPr="00DA01FB">
        <w:rPr>
          <w:rFonts w:ascii="Times New Roman" w:hAnsi="Times New Roman" w:cs="Times New Roman"/>
          <w:noProof/>
          <w:lang w:val="en-US"/>
        </w:rPr>
        <w:t>Gray K, Hampton B, Silveti-Falls T, McConnell A, Bausell C. 2015. Comparison of bayesian credible intervals to frequentist confidence intervals. Journal of Modern Applied Statistical Methods. 14(1):43–52. doi:10.22237/jmasm/1430453220.</w:t>
      </w:r>
    </w:p>
    <w:p w14:paraId="52E0A024" w14:textId="77777777" w:rsidR="0074284E" w:rsidRPr="00DA01FB" w:rsidRDefault="0074284E" w:rsidP="0074284E">
      <w:pPr>
        <w:widowControl w:val="0"/>
        <w:autoSpaceDE w:val="0"/>
        <w:autoSpaceDN w:val="0"/>
        <w:adjustRightInd w:val="0"/>
        <w:spacing w:line="480" w:lineRule="auto"/>
        <w:ind w:left="720" w:hanging="720"/>
        <w:rPr>
          <w:rFonts w:ascii="Times New Roman" w:hAnsi="Times New Roman" w:cs="Times New Roman"/>
          <w:noProof/>
          <w:lang w:val="en-US"/>
        </w:rPr>
      </w:pPr>
      <w:r w:rsidRPr="00DA01FB">
        <w:rPr>
          <w:rFonts w:ascii="Times New Roman" w:hAnsi="Times New Roman" w:cs="Times New Roman"/>
          <w:noProof/>
          <w:lang w:val="en-US"/>
        </w:rPr>
        <w:t>Jackson D, White IR. 2018. When should meta-analysis avoid making hidden normality assumptions ? (June):1040–1058. doi:10.1002/bimj.201800071.</w:t>
      </w:r>
    </w:p>
    <w:p w14:paraId="0E6C73C0" w14:textId="77777777" w:rsidR="0074284E" w:rsidRPr="00DA01FB" w:rsidRDefault="0074284E" w:rsidP="0074284E">
      <w:pPr>
        <w:widowControl w:val="0"/>
        <w:autoSpaceDE w:val="0"/>
        <w:autoSpaceDN w:val="0"/>
        <w:adjustRightInd w:val="0"/>
        <w:spacing w:line="480" w:lineRule="auto"/>
        <w:ind w:left="720" w:hanging="720"/>
        <w:rPr>
          <w:rFonts w:ascii="Times New Roman" w:hAnsi="Times New Roman" w:cs="Times New Roman"/>
          <w:noProof/>
          <w:lang w:val="en-US"/>
        </w:rPr>
      </w:pPr>
      <w:r w:rsidRPr="00DA01FB">
        <w:rPr>
          <w:rFonts w:ascii="Times New Roman" w:hAnsi="Times New Roman" w:cs="Times New Roman"/>
          <w:noProof/>
          <w:lang w:val="en-US"/>
        </w:rPr>
        <w:t>Lin L, Xu C. 2020. Arcsine-based transformations for meta-analysis of proportions: Pros, cons, and alternatives. Health Science Reports. 3(3):1–6. doi:10.1002/hsr2.178.</w:t>
      </w:r>
    </w:p>
    <w:p w14:paraId="71A14B16" w14:textId="77777777" w:rsidR="0074284E" w:rsidRPr="00DA01FB" w:rsidRDefault="0074284E" w:rsidP="0074284E">
      <w:pPr>
        <w:widowControl w:val="0"/>
        <w:autoSpaceDE w:val="0"/>
        <w:autoSpaceDN w:val="0"/>
        <w:adjustRightInd w:val="0"/>
        <w:spacing w:line="480" w:lineRule="auto"/>
        <w:ind w:left="720" w:hanging="720"/>
        <w:rPr>
          <w:rFonts w:ascii="Times New Roman" w:hAnsi="Times New Roman" w:cs="Times New Roman"/>
          <w:noProof/>
          <w:lang w:val="en-US"/>
        </w:rPr>
      </w:pPr>
      <w:r w:rsidRPr="00DA01FB">
        <w:rPr>
          <w:rFonts w:ascii="Times New Roman" w:hAnsi="Times New Roman" w:cs="Times New Roman"/>
          <w:noProof/>
          <w:lang w:val="en-US"/>
        </w:rPr>
        <w:t>Schwarzer G, Chemaitelly H, Abu-Raddad LJ, Rücker G. 2019. Seriously misleading results using inverse of Freeman-Tukey double arcsine transformation in meta-analysis of single proportions. Research Synthesis Methods. 10(3):476–483. doi:10.1002/jrsm.1348.</w:t>
      </w:r>
    </w:p>
    <w:p w14:paraId="53CA8FFD" w14:textId="77777777" w:rsidR="0074284E" w:rsidRPr="00DA01FB" w:rsidRDefault="0074284E" w:rsidP="0074284E">
      <w:pPr>
        <w:widowControl w:val="0"/>
        <w:autoSpaceDE w:val="0"/>
        <w:autoSpaceDN w:val="0"/>
        <w:adjustRightInd w:val="0"/>
        <w:spacing w:line="480" w:lineRule="auto"/>
        <w:ind w:left="720" w:hanging="720"/>
        <w:rPr>
          <w:rFonts w:ascii="Times New Roman" w:hAnsi="Times New Roman" w:cs="Times New Roman"/>
          <w:noProof/>
          <w:lang w:val="en-US"/>
        </w:rPr>
      </w:pPr>
      <w:r w:rsidRPr="00DA01FB">
        <w:rPr>
          <w:rFonts w:ascii="Times New Roman" w:hAnsi="Times New Roman" w:cs="Times New Roman"/>
          <w:noProof/>
          <w:lang w:val="en-US"/>
        </w:rPr>
        <w:t>Viechtbauer W. 2010. Conducting meta-analyses in R with the metafor package. Journal of Statistical Software. 36(3):1–48.</w:t>
      </w:r>
    </w:p>
    <w:p w14:paraId="1D02C6A3" w14:textId="77777777" w:rsidR="0074284E" w:rsidRPr="00DA01FB" w:rsidRDefault="0074284E" w:rsidP="0074284E">
      <w:pPr>
        <w:widowControl w:val="0"/>
        <w:autoSpaceDE w:val="0"/>
        <w:autoSpaceDN w:val="0"/>
        <w:adjustRightInd w:val="0"/>
        <w:spacing w:line="480" w:lineRule="auto"/>
        <w:ind w:left="720" w:hanging="720"/>
        <w:rPr>
          <w:rFonts w:ascii="Times New Roman" w:hAnsi="Times New Roman" w:cs="Times New Roman"/>
          <w:noProof/>
          <w:lang w:val="en-US"/>
        </w:rPr>
      </w:pPr>
      <w:r w:rsidRPr="00DA01FB">
        <w:rPr>
          <w:rFonts w:ascii="Times New Roman" w:hAnsi="Times New Roman" w:cs="Times New Roman"/>
          <w:noProof/>
          <w:lang w:val="en-US"/>
        </w:rPr>
        <w:t>Wang N. 2018. Conducting Meta-Analyses of Proportions in R. John Jay College of Criminal Justice.:1–62.</w:t>
      </w:r>
    </w:p>
    <w:p w14:paraId="78D05927" w14:textId="0E8B1A02" w:rsidR="0074284E" w:rsidRPr="00866D4C" w:rsidRDefault="0074284E" w:rsidP="0074284E">
      <w:pPr>
        <w:spacing w:line="480" w:lineRule="auto"/>
        <w:ind w:left="720" w:hanging="720"/>
        <w:rPr>
          <w:rFonts w:ascii="Times New Roman" w:hAnsi="Times New Roman" w:cs="Times New Roman"/>
        </w:rPr>
      </w:pPr>
      <w:r w:rsidRPr="00DA01FB">
        <w:rPr>
          <w:rFonts w:ascii="Times New Roman" w:hAnsi="Times New Roman" w:cs="Times New Roman"/>
          <w:noProof/>
          <w:lang w:val="en-US"/>
        </w:rPr>
        <w:t>Warton DI, Hui FKC. 2011. The arcsine is asinine: the analysis of proportions in ecology. Ecology. 92(1):3–10.</w:t>
      </w:r>
      <w:r>
        <w:rPr>
          <w:rFonts w:ascii="Times New Roman" w:eastAsia="Times New Roman" w:hAnsi="Times New Roman" w:cs="Times New Roman"/>
        </w:rPr>
        <w:fldChar w:fldCharType="end"/>
      </w:r>
    </w:p>
    <w:p w14:paraId="3BBB3EED" w14:textId="77777777" w:rsidR="00866D4C" w:rsidRPr="00866D4C" w:rsidRDefault="00866D4C" w:rsidP="0074284E">
      <w:pPr>
        <w:spacing w:line="480" w:lineRule="auto"/>
        <w:rPr>
          <w:rFonts w:ascii="Times New Roman" w:hAnsi="Times New Roman" w:cs="Times New Roman"/>
        </w:rPr>
      </w:pPr>
    </w:p>
    <w:sectPr w:rsidR="00866D4C" w:rsidRPr="00866D4C" w:rsidSect="00EA0F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4C"/>
    <w:rsid w:val="00013018"/>
    <w:rsid w:val="00040EE2"/>
    <w:rsid w:val="00080290"/>
    <w:rsid w:val="0008554F"/>
    <w:rsid w:val="000F1568"/>
    <w:rsid w:val="001308B0"/>
    <w:rsid w:val="00190EA4"/>
    <w:rsid w:val="001F6758"/>
    <w:rsid w:val="002E0685"/>
    <w:rsid w:val="00331A0C"/>
    <w:rsid w:val="00350AAD"/>
    <w:rsid w:val="003902E6"/>
    <w:rsid w:val="00426A09"/>
    <w:rsid w:val="004503A0"/>
    <w:rsid w:val="00497C3C"/>
    <w:rsid w:val="005018AE"/>
    <w:rsid w:val="00502077"/>
    <w:rsid w:val="0050687C"/>
    <w:rsid w:val="005D3D23"/>
    <w:rsid w:val="005E1B77"/>
    <w:rsid w:val="006434DE"/>
    <w:rsid w:val="00652CEF"/>
    <w:rsid w:val="00681D27"/>
    <w:rsid w:val="006D6008"/>
    <w:rsid w:val="0074284E"/>
    <w:rsid w:val="007434E6"/>
    <w:rsid w:val="00796AF5"/>
    <w:rsid w:val="007E679D"/>
    <w:rsid w:val="008326E5"/>
    <w:rsid w:val="00866D4C"/>
    <w:rsid w:val="00874811"/>
    <w:rsid w:val="00877492"/>
    <w:rsid w:val="008E23B6"/>
    <w:rsid w:val="009649F6"/>
    <w:rsid w:val="00A00AA3"/>
    <w:rsid w:val="00AB0D04"/>
    <w:rsid w:val="00AB4EC7"/>
    <w:rsid w:val="00AC3F96"/>
    <w:rsid w:val="00AD799B"/>
    <w:rsid w:val="00AE45A7"/>
    <w:rsid w:val="00B048C4"/>
    <w:rsid w:val="00B36FE5"/>
    <w:rsid w:val="00B528F9"/>
    <w:rsid w:val="00B73F0D"/>
    <w:rsid w:val="00BD441D"/>
    <w:rsid w:val="00C56F32"/>
    <w:rsid w:val="00C81B93"/>
    <w:rsid w:val="00D8232C"/>
    <w:rsid w:val="00D97489"/>
    <w:rsid w:val="00DA01FB"/>
    <w:rsid w:val="00DB6488"/>
    <w:rsid w:val="00DD0C82"/>
    <w:rsid w:val="00E271C5"/>
    <w:rsid w:val="00E331C5"/>
    <w:rsid w:val="00E90ED5"/>
    <w:rsid w:val="00EA0F77"/>
    <w:rsid w:val="00ED6B58"/>
    <w:rsid w:val="00EE5B29"/>
    <w:rsid w:val="00F506DF"/>
    <w:rsid w:val="00FB2FD3"/>
    <w:rsid w:val="00FD73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0D8D"/>
  <w15:chartTrackingRefBased/>
  <w15:docId w15:val="{130D80F4-FE0B-E646-A74A-9DC32AB2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866D4C"/>
    <w:rPr>
      <w:sz w:val="16"/>
      <w:szCs w:val="16"/>
    </w:rPr>
  </w:style>
  <w:style w:type="paragraph" w:styleId="CommentText">
    <w:name w:val="annotation text"/>
    <w:basedOn w:val="Normal"/>
    <w:link w:val="CommentTextChar"/>
    <w:uiPriority w:val="99"/>
    <w:rsid w:val="00866D4C"/>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866D4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66D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6D4C"/>
    <w:rPr>
      <w:rFonts w:ascii="Times New Roman" w:hAnsi="Times New Roman" w:cs="Times New Roman"/>
      <w:sz w:val="18"/>
      <w:szCs w:val="18"/>
    </w:rPr>
  </w:style>
  <w:style w:type="table" w:styleId="TableGrid">
    <w:name w:val="Table Grid"/>
    <w:basedOn w:val="TableNormal"/>
    <w:uiPriority w:val="39"/>
    <w:rsid w:val="0050687C"/>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9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4E63A-3939-C844-A0F4-639F4338A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5169</Words>
  <Characters>29468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Bairos-Novak</dc:creator>
  <cp:keywords/>
  <dc:description/>
  <cp:lastModifiedBy>Kevin Bairos-Novak</cp:lastModifiedBy>
  <cp:revision>20</cp:revision>
  <dcterms:created xsi:type="dcterms:W3CDTF">2021-04-05T04:52:00Z</dcterms:created>
  <dcterms:modified xsi:type="dcterms:W3CDTF">2021-07-28T05:28:00Z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http://www.zotero.org/styles/animal-behaviour</vt:lpwstr>
  </property>
  <property fmtid="{D5CDD505-2E9C-101B-9397-08002B2CF9AE}" pid="3" name="Mendeley Recent Style Name 0_1">
    <vt:lpwstr>Animal Behaviour</vt:lpwstr>
  </property>
  <property fmtid="{D5CDD505-2E9C-101B-9397-08002B2CF9AE}" pid="4" name="Mendeley Recent Style Id 1_1">
    <vt:lpwstr>http://www.zotero.org/styles/behavioral-ecology</vt:lpwstr>
  </property>
  <property fmtid="{D5CDD505-2E9C-101B-9397-08002B2CF9AE}" pid="5" name="Mendeley Recent Style Name 1_1">
    <vt:lpwstr>Behavioral Ecology</vt:lpwstr>
  </property>
  <property fmtid="{D5CDD505-2E9C-101B-9397-08002B2CF9AE}" pid="6" name="Mendeley Recent Style Id 2_1">
    <vt:lpwstr>http://www.zotero.org/styles/behavioral-ecology-and-sociobiology</vt:lpwstr>
  </property>
  <property fmtid="{D5CDD505-2E9C-101B-9397-08002B2CF9AE}" pid="7" name="Mendeley Recent Style Name 2_1">
    <vt:lpwstr>Behavioral Ecology and Sociobiology</vt:lpwstr>
  </property>
  <property fmtid="{D5CDD505-2E9C-101B-9397-08002B2CF9AE}" pid="8" name="Mendeley Recent Style Id 3_1">
    <vt:lpwstr>http://csl.mendeley.com/styles/457378121/council-of-science-editors-KBN-Jan17-2020</vt:lpwstr>
  </property>
  <property fmtid="{D5CDD505-2E9C-101B-9397-08002B2CF9AE}" pid="9" name="Mendeley Recent Style Name 3_1">
    <vt:lpwstr>Council of Science Editors, Name-Year (author-date) - Kevin Bairos-Novak</vt:lpwstr>
  </property>
  <property fmtid="{D5CDD505-2E9C-101B-9397-08002B2CF9AE}" pid="10" name="Mendeley Recent Style Id 4_1">
    <vt:lpwstr>http://www.zotero.org/styles/functional-ecology</vt:lpwstr>
  </property>
  <property fmtid="{D5CDD505-2E9C-101B-9397-08002B2CF9AE}" pid="11" name="Mendeley Recent Style Name 4_1">
    <vt:lpwstr>Functional Ecology</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http://www.zotero.org/styles/journal-of-animal-ecology</vt:lpwstr>
  </property>
  <property fmtid="{D5CDD505-2E9C-101B-9397-08002B2CF9AE}" pid="15" name="Mendeley Recent Style Name 6_1">
    <vt:lpwstr>Journal of Animal Ecology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http://csl.mendeley.com/styles/457378121/kevin-springer-basic-author-date-2</vt:lpwstr>
  </property>
  <property fmtid="{D5CDD505-2E9C-101B-9397-08002B2CF9AE}" pid="21" name="Mendeley Recent Style Name 9_1">
    <vt:lpwstr>Springer - Basic (author-date) - Kevin Bairos-Novak</vt:lpwstr>
  </property>
  <property fmtid="{D5CDD505-2E9C-101B-9397-08002B2CF9AE}" pid="22" name="Mendeley Citation Style_1">
    <vt:lpwstr>http://csl.mendeley.com/styles/457378121/council-of-science-editors-KBN-Jan17-2020</vt:lpwstr>
  </property>
  <property fmtid="{D5CDD505-2E9C-101B-9397-08002B2CF9AE}" pid="23" name="Mendeley Document_1">
    <vt:lpwstr>True</vt:lpwstr>
  </property>
  <property fmtid="{D5CDD505-2E9C-101B-9397-08002B2CF9AE}" pid="24" name="Mendeley Unique User Id_1">
    <vt:lpwstr>157be7ef-4458-3951-9bf2-c6ae9dadff1f</vt:lpwstr>
  </property>
</Properties>
</file>