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3C3489"/>
          <w:sz w:val="56"/>
          <w:szCs w:val="56"/>
        </w:rPr>
        <w:t xml:space="preserve">ONE CBO STRATEGY</w:t>
      </w:r>
    </w:p>
    <w:p>
      <w:pPr>
        <w:spacing w:after="200" w:before="100"/>
        <w:jc w:val="center"/>
      </w:pPr>
      <w:r>
        <w:rPr>
          <w:rFonts w:ascii="Arial" w:cs="Arial" w:eastAsia="Arial" w:hAnsi="Arial"/>
          <w:b/>
          <w:bCs/>
          <w:color w:val="1F2A44"/>
          <w:sz w:val="32"/>
          <w:szCs w:val="32"/>
        </w:rPr>
        <w:t xml:space="preserve">Resumen de clase</w:t>
      </w:r>
    </w:p>
    <w:p>
      <w:pPr>
        <w:spacing w:after="600" w:before="100"/>
        <w:jc w:val="center"/>
      </w:pPr>
      <w:r>
        <w:rPr>
          <w:rFonts w:ascii="Arial" w:cs="Arial" w:eastAsia="Arial" w:hAnsi="Arial"/>
          <w:i/>
          <w:iCs/>
          <w:color w:val="5F5E5A"/>
          <w:sz w:val="24"/>
          <w:szCs w:val="24"/>
        </w:rPr>
        <w:t xml:space="preserve">Aplicación a producto · Andromeda · Niveles de conciencia · Testeo e iteración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EEDFE" w:val="clear"/>
            <w:tcMar>
              <w:top w:type="dxa" w:w="200"/>
              <w:left w:type="dxa" w:w="240"/>
              <w:bottom w:type="dxa" w:w="200"/>
              <w:right w:type="dxa" w:w="240"/>
            </w:tcMar>
          </w:tcPr>
          <w:p>
            <w:pPr>
              <w:spacing w:after="80" w:before="0"/>
            </w:pPr>
            <w:r>
              <w:rPr>
                <w:rFonts w:ascii="Arial" w:cs="Arial" w:eastAsia="Arial" w:hAnsi="Arial"/>
                <w:b/>
                <w:bCs/>
                <w:color w:val="3C3489"/>
                <w:sz w:val="24"/>
                <w:szCs w:val="24"/>
              </w:rPr>
              <w:t xml:space="preserve">Idea fuerza de la clase</w:t>
            </w:r>
          </w:p>
          <w:p>
            <w:pPr>
              <w:spacing w:after="40" w:before="40"/>
            </w:pPr>
            <w:r>
              <w:rPr>
                <w:rFonts w:ascii="Arial" w:cs="Arial" w:eastAsia="Arial" w:hAnsi="Arial"/>
                <w:color w:val="2C2C2A"/>
                <w:sz w:val="22"/>
                <w:szCs w:val="22"/>
              </w:rPr>
              <w:t xml:space="preserve">Una sola CBO concentra todo el aprendizaje del algoritmo en un único lugar.</w:t>
            </w:r>
          </w:p>
          <w:p>
            <w:pPr>
              <w:spacing w:after="40" w:before="40"/>
            </w:pPr>
            <w:r>
              <w:rPr>
                <w:rFonts w:ascii="Arial" w:cs="Arial" w:eastAsia="Arial" w:hAnsi="Arial"/>
                <w:color w:val="2C2C2A"/>
                <w:sz w:val="22"/>
                <w:szCs w:val="22"/>
              </w:rPr>
              <w:t xml:space="preserve">El copy y el creativo son hoy el targeting real, porque Andromeda decide a quién mostrarle el ad leyendo lo que tu ad dice.</w:t>
            </w:r>
          </w:p>
          <w:p>
            <w:pPr>
              <w:spacing w:after="40" w:before="40"/>
            </w:pPr>
            <w:r>
              <w:rPr>
                <w:rFonts w:ascii="Arial" w:cs="Arial" w:eastAsia="Arial" w:hAnsi="Arial"/>
                <w:color w:val="2C2C2A"/>
                <w:sz w:val="22"/>
                <w:szCs w:val="22"/>
              </w:rPr>
              <w:t xml:space="preserve">Más diversidad de conceptos = más bolsillos de audiencia cubiertos = CPA más estable.</w:t>
            </w:r>
          </w:p>
        </w:tc>
      </w:tr>
    </w:tbl>
    <w:p>
      <w:r>
        <w:br w:type="page"/>
      </w:r>
    </w:p>
    <w:p>
      <w:pPr>
        <w:pStyle w:val="Heading1"/>
        <w:spacing w:after="180" w:before="360"/>
      </w:pPr>
      <w:r>
        <w:rPr>
          <w:rFonts w:ascii="Arial" w:cs="Arial" w:eastAsia="Arial" w:hAnsi="Arial"/>
          <w:b/>
          <w:bCs/>
          <w:color w:val="1F2A44"/>
          <w:sz w:val="36"/>
          <w:szCs w:val="36"/>
        </w:rPr>
        <w:t xml:space="preserve">1. ¿Qué es la One CBO Strategy?</w:t>
      </w:r>
    </w:p>
    <w:p>
      <w:pPr>
        <w:spacing w:after="60" w:before="60"/>
        <w:jc w:val="left"/>
      </w:pPr>
      <w:r>
        <w:rPr>
          <w:rFonts w:ascii="Arial" w:cs="Arial" w:eastAsia="Arial" w:hAnsi="Arial"/>
          <w:b w:val="false"/>
          <w:bCs w:val="false"/>
          <w:i w:val="false"/>
          <w:iCs w:val="false"/>
          <w:color w:val="2C2C2A"/>
          <w:sz w:val="22"/>
          <w:szCs w:val="22"/>
        </w:rPr>
        <w:t xml:space="preserve">La One CBO Strategy es una arquitectura de campaña en Meta Ads donde todo lo relacionado a un producto vive dentro de una única CBO (Campaign Budget Optimization). En vez de fragmentar el presupuesto en múltiples campañas para testear, escalar o hacer retargeting, todo convive en la misma estructura de forma evergreen.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EEDFE" w:val="clear"/>
            <w:tcMar>
              <w:top w:type="dxa" w:w="200"/>
              <w:left w:type="dxa" w:w="240"/>
              <w:bottom w:type="dxa" w:w="200"/>
              <w:right w:type="dxa" w:w="240"/>
            </w:tcMar>
          </w:tcPr>
          <w:p>
            <w:pPr>
              <w:spacing w:after="80" w:before="0"/>
            </w:pPr>
            <w:r>
              <w:rPr>
                <w:rFonts w:ascii="Arial" w:cs="Arial" w:eastAsia="Arial" w:hAnsi="Arial"/>
                <w:b/>
                <w:bCs/>
                <w:color w:val="3C3489"/>
                <w:sz w:val="24"/>
                <w:szCs w:val="24"/>
              </w:rPr>
              <w:t xml:space="preserve">Regla absoluta</w:t>
            </w:r>
          </w:p>
          <w:p>
            <w:pPr>
              <w:spacing w:after="40" w:before="40"/>
            </w:pPr>
            <w:r>
              <w:rPr>
                <w:rFonts w:ascii="Arial" w:cs="Arial" w:eastAsia="Arial" w:hAnsi="Arial"/>
                <w:color w:val="2C2C2A"/>
                <w:sz w:val="22"/>
                <w:szCs w:val="22"/>
              </w:rPr>
              <w:t xml:space="preserve">1 producto = 1 CBO. Sin excepciones.</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1.1. Estructura interna</w:t>
      </w:r>
    </w:p>
    <w:p>
      <w:pPr>
        <w:pStyle w:val="ListParagraph"/>
        <w:numPr>
          <w:ilvl w:val="0"/>
          <w:numId w:val="2"/>
        </w:numPr>
        <w:spacing w:after="40" w:before="40"/>
      </w:pPr>
      <w:r>
        <w:rPr>
          <w:rFonts w:ascii="Arial" w:cs="Arial" w:eastAsia="Arial" w:hAnsi="Arial"/>
          <w:b/>
          <w:bCs/>
          <w:color w:val="2C2C2A"/>
          <w:sz w:val="22"/>
          <w:szCs w:val="22"/>
        </w:rPr>
        <w:t xml:space="preserve">Presupuesto a nivel campaña</w:t>
      </w:r>
      <w:r>
        <w:rPr>
          <w:rFonts w:ascii="Arial" w:cs="Arial" w:eastAsia="Arial" w:hAnsi="Arial"/>
          <w:color w:val="2C2C2A"/>
          <w:sz w:val="22"/>
          <w:szCs w:val="22"/>
        </w:rPr>
        <w:t xml:space="preserve"> — Meta distribuye el 100% según el bolsillo de audiencia que esté activo en cada momento.</w:t>
      </w:r>
    </w:p>
    <w:p>
      <w:pPr>
        <w:pStyle w:val="ListParagraph"/>
        <w:numPr>
          <w:ilvl w:val="0"/>
          <w:numId w:val="2"/>
        </w:numPr>
        <w:spacing w:after="40" w:before="40"/>
      </w:pPr>
      <w:r>
        <w:rPr>
          <w:rFonts w:ascii="Arial" w:cs="Arial" w:eastAsia="Arial" w:hAnsi="Arial"/>
          <w:b/>
          <w:bCs/>
          <w:color w:val="2C2C2A"/>
          <w:sz w:val="22"/>
          <w:szCs w:val="22"/>
        </w:rPr>
        <w:t xml:space="preserve">Targeting broad</w:t>
      </w:r>
      <w:r>
        <w:rPr>
          <w:rFonts w:ascii="Arial" w:cs="Arial" w:eastAsia="Arial" w:hAnsi="Arial"/>
          <w:color w:val="2C2C2A"/>
          <w:sz w:val="22"/>
          <w:szCs w:val="22"/>
        </w:rPr>
        <w:t xml:space="preserve"> — solo país, rango de edad si aplica, género si aplica. Sin intereses ni lookalikes.</w:t>
      </w:r>
    </w:p>
    <w:p>
      <w:pPr>
        <w:pStyle w:val="ListParagraph"/>
        <w:numPr>
          <w:ilvl w:val="0"/>
          <w:numId w:val="2"/>
        </w:numPr>
        <w:spacing w:after="40" w:before="40"/>
      </w:pPr>
      <w:r>
        <w:rPr>
          <w:rFonts w:ascii="Arial" w:cs="Arial" w:eastAsia="Arial" w:hAnsi="Arial"/>
          <w:b/>
          <w:bCs/>
          <w:color w:val="2C2C2A"/>
          <w:sz w:val="22"/>
          <w:szCs w:val="22"/>
        </w:rPr>
        <w:t xml:space="preserve">Cada batch = 1 Ad Set</w:t>
      </w:r>
      <w:r>
        <w:rPr>
          <w:rFonts w:ascii="Arial" w:cs="Arial" w:eastAsia="Arial" w:hAnsi="Arial"/>
          <w:color w:val="2C2C2A"/>
          <w:sz w:val="22"/>
          <w:szCs w:val="22"/>
        </w:rPr>
        <w:t xml:space="preserve"> — un concepto creativo único por Ad Set.</w:t>
      </w:r>
    </w:p>
    <w:p>
      <w:pPr>
        <w:pStyle w:val="ListParagraph"/>
        <w:numPr>
          <w:ilvl w:val="0"/>
          <w:numId w:val="2"/>
        </w:numPr>
        <w:spacing w:after="40" w:before="40"/>
      </w:pPr>
      <w:r>
        <w:rPr>
          <w:rFonts w:ascii="Arial" w:cs="Arial" w:eastAsia="Arial" w:hAnsi="Arial"/>
          <w:b/>
          <w:bCs/>
          <w:color w:val="2C2C2A"/>
          <w:sz w:val="22"/>
          <w:szCs w:val="22"/>
        </w:rPr>
        <w:t xml:space="preserve">Framework 3-1-1 dentro de cada Ad Set</w:t>
      </w:r>
      <w:r>
        <w:rPr>
          <w:rFonts w:ascii="Arial" w:cs="Arial" w:eastAsia="Arial" w:hAnsi="Arial"/>
          <w:color w:val="2C2C2A"/>
          <w:sz w:val="22"/>
          <w:szCs w:val="22"/>
        </w:rPr>
        <w:t xml:space="preserve"> — 3 hooks distintos, 1 cuerpo de copy idéntico, 1 titular idéntico.</w:t>
      </w:r>
    </w:p>
    <w:p>
      <w:pPr>
        <w:pStyle w:val="ListParagraph"/>
        <w:numPr>
          <w:ilvl w:val="0"/>
          <w:numId w:val="2"/>
        </w:numPr>
        <w:spacing w:after="40" w:before="40"/>
      </w:pPr>
      <w:r>
        <w:rPr>
          <w:rFonts w:ascii="Arial" w:cs="Arial" w:eastAsia="Arial" w:hAnsi="Arial"/>
          <w:b/>
          <w:bCs/>
          <w:color w:val="2C2C2A"/>
          <w:sz w:val="22"/>
          <w:szCs w:val="22"/>
        </w:rPr>
        <w:t xml:space="preserve">Sin separación entre testeo y escalado</w:t>
      </w:r>
      <w:r>
        <w:rPr>
          <w:rFonts w:ascii="Arial" w:cs="Arial" w:eastAsia="Arial" w:hAnsi="Arial"/>
          <w:color w:val="2C2C2A"/>
          <w:sz w:val="22"/>
          <w:szCs w:val="22"/>
        </w:rPr>
        <w:t xml:space="preserve"> — todo vive en la misma CBO.</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1.2. ¿Por qué una sola CBO y no varias?</w:t>
      </w:r>
    </w:p>
    <w:p>
      <w:pPr>
        <w:spacing w:after="60" w:before="60"/>
        <w:jc w:val="left"/>
      </w:pPr>
      <w:r>
        <w:rPr>
          <w:rFonts w:ascii="Arial" w:cs="Arial" w:eastAsia="Arial" w:hAnsi="Arial"/>
          <w:b w:val="false"/>
          <w:bCs w:val="false"/>
          <w:i w:val="false"/>
          <w:iCs w:val="false"/>
          <w:color w:val="2C2C2A"/>
          <w:sz w:val="22"/>
          <w:szCs w:val="22"/>
        </w:rPr>
        <w:t xml:space="preserve">Cuando se separan testeos, escalado y retargeting en campañas distintas, el algoritmo aprende fragmentado. Cada campaña empieza de cero y nunca acumula suficiente señal. Con una sola CBO, todas las conversiones, clics e interacciones alimentan un único modelo de aprendizaje que se vuelve cada día más preciso.</w:t>
      </w:r>
    </w:p>
    <w:p>
      <w:r>
        <w:br w:type="page"/>
      </w:r>
    </w:p>
    <w:p>
      <w:pPr>
        <w:pStyle w:val="Heading1"/>
        <w:spacing w:after="180" w:before="360"/>
      </w:pPr>
      <w:r>
        <w:rPr>
          <w:rFonts w:ascii="Arial" w:cs="Arial" w:eastAsia="Arial" w:hAnsi="Arial"/>
          <w:b/>
          <w:bCs/>
          <w:color w:val="1F2A44"/>
          <w:sz w:val="36"/>
          <w:szCs w:val="36"/>
        </w:rPr>
        <w:t xml:space="preserve">2. Por qué funciona así con Andromeda</w:t>
      </w:r>
    </w:p>
    <w:p>
      <w:pPr>
        <w:spacing w:after="60" w:before="60"/>
        <w:jc w:val="left"/>
      </w:pPr>
      <w:r>
        <w:rPr>
          <w:rFonts w:ascii="Arial" w:cs="Arial" w:eastAsia="Arial" w:hAnsi="Arial"/>
          <w:b w:val="false"/>
          <w:bCs w:val="false"/>
          <w:i w:val="false"/>
          <w:iCs w:val="false"/>
          <w:color w:val="2C2C2A"/>
          <w:sz w:val="22"/>
          <w:szCs w:val="22"/>
        </w:rPr>
        <w:t xml:space="preserve">Andromeda es el sistema de subasta y machine learning que Meta lanzó a finales de 2024 y que reemplazó al sistema anterior. El cambio fundamental que introduce es la razón por la que la One CBO Strategy es hoy la arquitectura óptima.</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2.1. El cambio de paradigma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6F1FB" w:val="clear"/>
            <w:tcMar>
              <w:top w:type="dxa" w:w="200"/>
              <w:left w:type="dxa" w:w="240"/>
              <w:bottom w:type="dxa" w:w="200"/>
              <w:right w:type="dxa" w:w="240"/>
            </w:tcMar>
          </w:tcPr>
          <w:p>
            <w:pPr>
              <w:spacing w:after="80" w:before="0"/>
            </w:pPr>
            <w:r>
              <w:rPr>
                <w:rFonts w:ascii="Arial" w:cs="Arial" w:eastAsia="Arial" w:hAnsi="Arial"/>
                <w:b/>
                <w:bCs/>
                <w:color w:val="0C447C"/>
                <w:sz w:val="24"/>
                <w:szCs w:val="24"/>
              </w:rPr>
              <w:t xml:space="preserve">Antes vs. ahora</w:t>
            </w:r>
          </w:p>
          <w:p>
            <w:pPr>
              <w:spacing w:after="40" w:before="40"/>
            </w:pPr>
            <w:r>
              <w:rPr>
                <w:rFonts w:ascii="Arial" w:cs="Arial" w:eastAsia="Arial" w:hAnsi="Arial"/>
                <w:color w:val="2C2C2A"/>
                <w:sz w:val="22"/>
                <w:szCs w:val="22"/>
              </w:rPr>
              <w:t xml:space="preserve">ANTES: el anunciante elegía a quién mostrar el ad mediante intereses, lookalikes y audiencias detalladas.</w:t>
            </w:r>
          </w:p>
          <w:p>
            <w:pPr>
              <w:spacing w:after="40" w:before="40"/>
            </w:pPr>
            <w:r>
              <w:rPr>
                <w:rFonts w:ascii="Arial" w:cs="Arial" w:eastAsia="Arial" w:hAnsi="Arial"/>
                <w:color w:val="2C2C2A"/>
                <w:sz w:val="22"/>
                <w:szCs w:val="22"/>
              </w:rPr>
              <w:t xml:space="preserve">AHORA: Andromeda lee el copy, las imágenes y el video, y decide a quién mostrarlo. El copy ya es el targeting.</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2.2. Cómo lee Andromeda los anuncios</w:t>
      </w:r>
    </w:p>
    <w:p>
      <w:pPr>
        <w:spacing w:after="60" w:before="60"/>
        <w:jc w:val="left"/>
      </w:pPr>
      <w:r>
        <w:rPr>
          <w:rFonts w:ascii="Arial" w:cs="Arial" w:eastAsia="Arial" w:hAnsi="Arial"/>
          <w:b w:val="false"/>
          <w:bCs w:val="false"/>
          <w:i w:val="false"/>
          <w:iCs w:val="false"/>
          <w:color w:val="2C2C2A"/>
          <w:sz w:val="22"/>
          <w:szCs w:val="22"/>
        </w:rPr>
        <w:t xml:space="preserve">Cada anuncio recibe una clasificación semántica del modelo. El sistema identifica el nicho, el problema que aborda y el segmento de audiencia que probablemente responda. Por eso:</w:t>
      </w:r>
    </w:p>
    <w:p>
      <w:pPr>
        <w:pStyle w:val="ListParagraph"/>
        <w:numPr>
          <w:ilvl w:val="0"/>
          <w:numId w:val="2"/>
        </w:numPr>
        <w:spacing w:after="40" w:before="40"/>
      </w:pPr>
      <w:r>
        <w:rPr>
          <w:rFonts w:ascii="Arial" w:cs="Arial" w:eastAsia="Arial" w:hAnsi="Arial"/>
          <w:b/>
          <w:bCs/>
          <w:color w:val="2C2C2A"/>
          <w:sz w:val="22"/>
          <w:szCs w:val="22"/>
        </w:rPr>
        <w:t xml:space="preserve">Hooks de máximo 8 palabras como text overlay</w:t>
      </w:r>
      <w:r>
        <w:rPr>
          <w:rFonts w:ascii="Arial" w:cs="Arial" w:eastAsia="Arial" w:hAnsi="Arial"/>
          <w:color w:val="2C2C2A"/>
          <w:sz w:val="22"/>
          <w:szCs w:val="22"/>
        </w:rPr>
        <w:t xml:space="preserve"> — Andromeda los procesa para clasificar el ad temáticamente.</w:t>
      </w:r>
    </w:p>
    <w:p>
      <w:pPr>
        <w:pStyle w:val="ListParagraph"/>
        <w:numPr>
          <w:ilvl w:val="0"/>
          <w:numId w:val="2"/>
        </w:numPr>
        <w:spacing w:after="40" w:before="40"/>
      </w:pPr>
      <w:r>
        <w:rPr>
          <w:rFonts w:ascii="Arial" w:cs="Arial" w:eastAsia="Arial" w:hAnsi="Arial"/>
          <w:b/>
          <w:bCs/>
          <w:color w:val="2C2C2A"/>
          <w:sz w:val="22"/>
          <w:szCs w:val="22"/>
        </w:rPr>
        <w:t xml:space="preserve">Primera línea bajo 125 caracteres</w:t>
      </w:r>
      <w:r>
        <w:rPr>
          <w:rFonts w:ascii="Arial" w:cs="Arial" w:eastAsia="Arial" w:hAnsi="Arial"/>
          <w:color w:val="2C2C2A"/>
          <w:sz w:val="22"/>
          <w:szCs w:val="22"/>
        </w:rPr>
        <w:t xml:space="preserve"> — es lo que se lee antes del Ver más en mobile y donde se decide la calidad inicial del ad.</w:t>
      </w:r>
    </w:p>
    <w:p>
      <w:pPr>
        <w:pStyle w:val="ListParagraph"/>
        <w:numPr>
          <w:ilvl w:val="0"/>
          <w:numId w:val="2"/>
        </w:numPr>
        <w:spacing w:after="40" w:before="40"/>
      </w:pPr>
      <w:r>
        <w:rPr>
          <w:rFonts w:ascii="Arial" w:cs="Arial" w:eastAsia="Arial" w:hAnsi="Arial"/>
          <w:b/>
          <w:bCs/>
          <w:color w:val="2C2C2A"/>
          <w:sz w:val="22"/>
          <w:szCs w:val="22"/>
        </w:rPr>
        <w:t xml:space="preserve">Cero atributos personales en el copy</w:t>
      </w:r>
      <w:r>
        <w:rPr>
          <w:rFonts w:ascii="Arial" w:cs="Arial" w:eastAsia="Arial" w:hAnsi="Arial"/>
          <w:color w:val="2C2C2A"/>
          <w:sz w:val="22"/>
          <w:szCs w:val="22"/>
        </w:rPr>
        <w:t xml:space="preserve"> — frases tipo ¿Cansada de tus ojeras? son penalizadas; mejor proyectar en tercera persona o describir la situación.</w:t>
      </w:r>
    </w:p>
    <w:p>
      <w:pPr>
        <w:pStyle w:val="ListParagraph"/>
        <w:numPr>
          <w:ilvl w:val="0"/>
          <w:numId w:val="2"/>
        </w:numPr>
        <w:spacing w:after="40" w:before="40"/>
      </w:pPr>
      <w:r>
        <w:rPr>
          <w:rFonts w:ascii="Arial" w:cs="Arial" w:eastAsia="Arial" w:hAnsi="Arial"/>
          <w:b/>
          <w:bCs/>
          <w:color w:val="2C2C2A"/>
          <w:sz w:val="22"/>
          <w:szCs w:val="22"/>
        </w:rPr>
        <w:t xml:space="preserve">Máximo 2 emojis</w:t>
      </w:r>
      <w:r>
        <w:rPr>
          <w:rFonts w:ascii="Arial" w:cs="Arial" w:eastAsia="Arial" w:hAnsi="Arial"/>
          <w:color w:val="2C2C2A"/>
          <w:sz w:val="22"/>
          <w:szCs w:val="22"/>
        </w:rPr>
        <w:t xml:space="preserve"> — los emojis decorativos se asocian a publicidad de baja calidad.</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2.3. La diversidad creativa que Andromeda premia</w:t>
      </w:r>
    </w:p>
    <w:p>
      <w:pPr>
        <w:spacing w:after="60" w:before="60"/>
        <w:jc w:val="left"/>
      </w:pPr>
      <w:r>
        <w:rPr>
          <w:rFonts w:ascii="Arial" w:cs="Arial" w:eastAsia="Arial" w:hAnsi="Arial"/>
          <w:b w:val="false"/>
          <w:bCs w:val="false"/>
          <w:i w:val="false"/>
          <w:iCs w:val="false"/>
          <w:color w:val="2C2C2A"/>
          <w:sz w:val="22"/>
          <w:szCs w:val="22"/>
        </w:rPr>
        <w:t xml:space="preserve">Andromeda no quiere variaciones del mismo anuncio (cambiar un color, modificar una palabra). Quiere conceptos fundamentalmente diferentes. Esto da origen al concepto de bolsillos de audiencia.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6F1FB" w:val="clear"/>
            <w:tcMar>
              <w:top w:type="dxa" w:w="200"/>
              <w:left w:type="dxa" w:w="240"/>
              <w:bottom w:type="dxa" w:w="200"/>
              <w:right w:type="dxa" w:w="240"/>
            </w:tcMar>
          </w:tcPr>
          <w:p>
            <w:pPr>
              <w:spacing w:after="80" w:before="0"/>
            </w:pPr>
            <w:r>
              <w:rPr>
                <w:rFonts w:ascii="Arial" w:cs="Arial" w:eastAsia="Arial" w:hAnsi="Arial"/>
                <w:b/>
                <w:bCs/>
                <w:color w:val="0C447C"/>
                <w:sz w:val="24"/>
                <w:szCs w:val="24"/>
              </w:rPr>
              <w:t xml:space="preserve">Bolsillos de audiencia: el concepto clave</w:t>
            </w:r>
          </w:p>
          <w:p>
            <w:pPr>
              <w:spacing w:after="40" w:before="40"/>
            </w:pPr>
            <w:r>
              <w:rPr>
                <w:rFonts w:ascii="Arial" w:cs="Arial" w:eastAsia="Arial" w:hAnsi="Arial"/>
                <w:color w:val="2C2C2A"/>
                <w:sz w:val="22"/>
                <w:szCs w:val="22"/>
              </w:rPr>
              <w:t xml:space="preserve">En cada momento, distintos segmentos de personas están activos en Meta. Cuando el CPA sube un día, no es que la campaña falló — es que el bolsillo de audiencia habitual no está activo y el algoritmo no tiene un creativo diseñado para el bolsillo que sí está activo.</w:t>
            </w:r>
          </w:p>
          <w:p>
            <w:pPr>
              <w:spacing w:after="40" w:before="40"/>
            </w:pPr>
            <w:r>
              <w:rPr>
                <w:rFonts w:ascii="Arial" w:cs="Arial" w:eastAsia="Arial" w:hAnsi="Arial"/>
                <w:color w:val="2C2C2A"/>
                <w:sz w:val="22"/>
                <w:szCs w:val="22"/>
              </w:rPr>
              <w:t xml:space="preserve">La solución no es optimizar el creativo existente. Es aumentar la diversidad de conceptos para cubrir más bolsillos.</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2.4. Penalización por similitud (Entity ID)</w:t>
      </w:r>
    </w:p>
    <w:p>
      <w:pPr>
        <w:spacing w:after="60" w:before="60"/>
        <w:jc w:val="left"/>
      </w:pPr>
      <w:r>
        <w:rPr>
          <w:rFonts w:ascii="Arial" w:cs="Arial" w:eastAsia="Arial" w:hAnsi="Arial"/>
          <w:b w:val="false"/>
          <w:bCs w:val="false"/>
          <w:i w:val="false"/>
          <w:iCs w:val="false"/>
          <w:color w:val="2C2C2A"/>
          <w:sz w:val="22"/>
          <w:szCs w:val="22"/>
        </w:rPr>
        <w:t xml:space="preserve">Meta agrupa anuncios similares bajo un mismo Entity ID y reparte el presupuesto entre ellos como si fueran el mismo anuncio. Si todos los creativos de la CBO son variantes del mismo concepto, el algoritmo los trata como uno solo y pierde la ventaja de la diversidad. Cada batch debe ser conceptualmente distinto en emoción, formato y nivel de conciencia.</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2.5. Implicancias prácticas para el producto</w:t>
      </w:r>
    </w:p>
    <w:p>
      <w:pPr>
        <w:pStyle w:val="ListParagraph"/>
        <w:numPr>
          <w:ilvl w:val="0"/>
          <w:numId w:val="2"/>
        </w:numPr>
        <w:spacing w:after="40" w:before="40"/>
      </w:pPr>
      <w:r>
        <w:rPr>
          <w:rFonts w:ascii="Arial" w:cs="Arial" w:eastAsia="Arial" w:hAnsi="Arial"/>
          <w:b/>
          <w:bCs/>
          <w:color w:val="2C2C2A"/>
          <w:sz w:val="22"/>
          <w:szCs w:val="22"/>
        </w:rPr>
        <w:t xml:space="preserve">Targeting broad obligatorio</w:t>
      </w:r>
      <w:r>
        <w:rPr>
          <w:rFonts w:ascii="Arial" w:cs="Arial" w:eastAsia="Arial" w:hAnsi="Arial"/>
          <w:color w:val="2C2C2A"/>
          <w:sz w:val="22"/>
          <w:szCs w:val="22"/>
        </w:rPr>
        <w:t xml:space="preserve"> — limitar al algoritmo con intereses o lookalikes le quita información para encontrar bolsillos nuevos.</w:t>
      </w:r>
    </w:p>
    <w:p>
      <w:pPr>
        <w:pStyle w:val="ListParagraph"/>
        <w:numPr>
          <w:ilvl w:val="0"/>
          <w:numId w:val="2"/>
        </w:numPr>
        <w:spacing w:after="40" w:before="40"/>
      </w:pPr>
      <w:r>
        <w:rPr>
          <w:rFonts w:ascii="Arial" w:cs="Arial" w:eastAsia="Arial" w:hAnsi="Arial"/>
          <w:b/>
          <w:bCs/>
          <w:color w:val="2C2C2A"/>
          <w:sz w:val="22"/>
          <w:szCs w:val="22"/>
        </w:rPr>
        <w:t xml:space="preserve">CBO en vez de ABO</w:t>
      </w:r>
      <w:r>
        <w:rPr>
          <w:rFonts w:ascii="Arial" w:cs="Arial" w:eastAsia="Arial" w:hAnsi="Arial"/>
          <w:color w:val="2C2C2A"/>
          <w:sz w:val="22"/>
          <w:szCs w:val="22"/>
        </w:rPr>
        <w:t xml:space="preserve"> — el presupuesto fijo por Ad Set bloquea la redistribución que Andromeda necesita para asignar gasto al bolsillo activo.</w:t>
      </w:r>
    </w:p>
    <w:p>
      <w:pPr>
        <w:pStyle w:val="ListParagraph"/>
        <w:numPr>
          <w:ilvl w:val="0"/>
          <w:numId w:val="2"/>
        </w:numPr>
        <w:spacing w:after="40" w:before="40"/>
      </w:pPr>
      <w:r>
        <w:rPr>
          <w:rFonts w:ascii="Arial" w:cs="Arial" w:eastAsia="Arial" w:hAnsi="Arial"/>
          <w:b/>
          <w:bCs/>
          <w:color w:val="2C2C2A"/>
          <w:sz w:val="22"/>
          <w:szCs w:val="22"/>
        </w:rPr>
        <w:t xml:space="preserve">Lanzamiento simultáneo de todos los Ad Sets</w:t>
      </w:r>
      <w:r>
        <w:rPr>
          <w:rFonts w:ascii="Arial" w:cs="Arial" w:eastAsia="Arial" w:hAnsi="Arial"/>
          <w:color w:val="2C2C2A"/>
          <w:sz w:val="22"/>
          <w:szCs w:val="22"/>
        </w:rPr>
        <w:t xml:space="preserve"> — Andromeda necesita ver todas las opciones desde el día uno para elegir.</w:t>
      </w:r>
    </w:p>
    <w:p>
      <w:pPr>
        <w:pStyle w:val="ListParagraph"/>
        <w:numPr>
          <w:ilvl w:val="0"/>
          <w:numId w:val="2"/>
        </w:numPr>
        <w:spacing w:after="40" w:before="40"/>
      </w:pPr>
      <w:r>
        <w:rPr>
          <w:rFonts w:ascii="Arial" w:cs="Arial" w:eastAsia="Arial" w:hAnsi="Arial"/>
          <w:b/>
          <w:bCs/>
          <w:color w:val="2C2C2A"/>
          <w:sz w:val="22"/>
          <w:szCs w:val="22"/>
        </w:rPr>
        <w:t xml:space="preserve">Alimentación constante de creativos nuevos</w:t>
      </w:r>
      <w:r>
        <w:rPr>
          <w:rFonts w:ascii="Arial" w:cs="Arial" w:eastAsia="Arial" w:hAnsi="Arial"/>
          <w:color w:val="2C2C2A"/>
          <w:sz w:val="22"/>
          <w:szCs w:val="22"/>
        </w:rPr>
        <w:t xml:space="preserve"> — sin diversidad nueva, los bolsillos se agotan y el CPA se deteriora.</w:t>
      </w:r>
    </w:p>
    <w:p>
      <w:r>
        <w:br w:type="page"/>
      </w:r>
    </w:p>
    <w:p>
      <w:pPr>
        <w:pStyle w:val="Heading1"/>
        <w:spacing w:after="180" w:before="360"/>
      </w:pPr>
      <w:r>
        <w:rPr>
          <w:rFonts w:ascii="Arial" w:cs="Arial" w:eastAsia="Arial" w:hAnsi="Arial"/>
          <w:b/>
          <w:bCs/>
          <w:color w:val="1F2A44"/>
          <w:sz w:val="36"/>
          <w:szCs w:val="36"/>
        </w:rPr>
        <w:t xml:space="preserve">3. Niveles de conciencia (Eugene Schwartz)</w:t>
      </w:r>
    </w:p>
    <w:p>
      <w:pPr>
        <w:spacing w:after="60" w:before="60"/>
        <w:jc w:val="left"/>
      </w:pPr>
      <w:r>
        <w:rPr>
          <w:rFonts w:ascii="Arial" w:cs="Arial" w:eastAsia="Arial" w:hAnsi="Arial"/>
          <w:b w:val="false"/>
          <w:bCs w:val="false"/>
          <w:i w:val="false"/>
          <w:iCs w:val="false"/>
          <w:color w:val="2C2C2A"/>
          <w:sz w:val="22"/>
          <w:szCs w:val="22"/>
        </w:rPr>
        <w:t xml:space="preserve">El modelo de Levels of Customer Awareness de Eugene Schwartz, desarrollado en su libro Breakthrough Advertising, describe cinco etapas por las que pasa un cliente en su camino hacia la compra. Cada nivel refleja cuánto sabe el cliente sobre su problema, la solución y el producto. Es la base sobre la que se diseña cada batch de la CBO.</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3.1. Los 5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rPr>
          <w:tblHeader/>
        </w:trPr>
        <w:tc>
          <w:tcPr>
            <w:tcBorders>
              <w:top w:val="single" w:color="CCCCCC" w:sz="4"/>
              <w:left w:val="single" w:color="CCCCCC" w:sz="4"/>
              <w:bottom w:val="single" w:color="CCCCCC" w:sz="4"/>
              <w:right w:val="single" w:color="CCCCCC" w:sz="4"/>
            </w:tcBorders>
            <w:shd w:fill="993C1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Nivel</w:t>
            </w:r>
          </w:p>
        </w:tc>
        <w:tc>
          <w:tcPr>
            <w:tcBorders>
              <w:top w:val="single" w:color="CCCCCC" w:sz="4"/>
              <w:left w:val="single" w:color="CCCCCC" w:sz="4"/>
              <w:bottom w:val="single" w:color="CCCCCC" w:sz="4"/>
              <w:right w:val="single" w:color="CCCCCC" w:sz="4"/>
            </w:tcBorders>
            <w:shd w:fill="993C1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Quién es</w:t>
            </w:r>
          </w:p>
        </w:tc>
        <w:tc>
          <w:tcPr>
            <w:tcBorders>
              <w:top w:val="single" w:color="CCCCCC" w:sz="4"/>
              <w:left w:val="single" w:color="CCCCCC" w:sz="4"/>
              <w:bottom w:val="single" w:color="CCCCCC" w:sz="4"/>
              <w:right w:val="single" w:color="CCCCCC" w:sz="4"/>
            </w:tcBorders>
            <w:shd w:fill="993C1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Mensaje</w:t>
            </w:r>
          </w:p>
        </w:tc>
        <w:tc>
          <w:tcPr>
            <w:tcBorders>
              <w:top w:val="single" w:color="CCCCCC" w:sz="4"/>
              <w:left w:val="single" w:color="CCCCCC" w:sz="4"/>
              <w:bottom w:val="single" w:color="CCCCCC" w:sz="4"/>
              <w:right w:val="single" w:color="CCCCCC" w:sz="4"/>
            </w:tcBorders>
            <w:shd w:fill="993C1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Formato típico</w:t>
            </w:r>
          </w:p>
        </w:tc>
      </w:tr>
      <w:tr>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Unaware (TOF)</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No sabe que tiene un problema</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Storytelling, curiosidad, lifestyle hooks</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Brand awareness, historias de influencers</w:t>
            </w:r>
          </w:p>
        </w:tc>
      </w:tr>
      <w:tr>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Problem Aware (TOF)</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Sabe que tiene un problema, no la solución</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Articular el problema con tanta claridad que diga eso me pasa a mí</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Storytelling emocional, identificación del problema</w:t>
            </w:r>
          </w:p>
        </w:tc>
      </w:tr>
      <w:tr>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Solution Aware (MOF)</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Conoce que existen soluciones, no tu producto</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Educar sobre por qué tu producto es la mejor solución</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Explainers, tutoriales, contenido educativo</w:t>
            </w:r>
          </w:p>
        </w:tc>
      </w:tr>
      <w:tr>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Product Aware (BOF)</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Conoce tu producto, no decidió</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Diferenciadores, resultados, social proof</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Reviews, comparaciones, endorsements de expertos</w:t>
            </w:r>
          </w:p>
        </w:tc>
      </w:tr>
      <w:tr>
        <w:tc>
          <w:tcPr>
            <w:tcW w:type="dxa" w:w="18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Most Aware (BOF)</w:t>
            </w:r>
          </w:p>
        </w:tc>
        <w:tc>
          <w:tcPr>
            <w:tcW w:type="dxa" w:w="2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Ya conoce y está listo para comprar</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Oferta irresistible, urgencia</w:t>
            </w:r>
          </w:p>
        </w:tc>
        <w:tc>
          <w:tcPr>
            <w:tcW w:type="dxa" w:w="278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Descuentos, restocks, ofertas con tiempo límite</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3.2. Frameworks de copy según nivel</w:t>
      </w:r>
    </w:p>
    <w:p>
      <w:pPr>
        <w:pStyle w:val="ListParagraph"/>
        <w:numPr>
          <w:ilvl w:val="0"/>
          <w:numId w:val="2"/>
        </w:numPr>
        <w:spacing w:after="40" w:before="40"/>
      </w:pPr>
      <w:r>
        <w:rPr>
          <w:rFonts w:ascii="Arial" w:cs="Arial" w:eastAsia="Arial" w:hAnsi="Arial"/>
          <w:b/>
          <w:bCs/>
          <w:color w:val="2C2C2A"/>
          <w:sz w:val="22"/>
          <w:szCs w:val="22"/>
        </w:rPr>
        <w:t xml:space="preserve">Problem Aware → PAS</w:t>
      </w:r>
      <w:r>
        <w:rPr>
          <w:rFonts w:ascii="Arial" w:cs="Arial" w:eastAsia="Arial" w:hAnsi="Arial"/>
          <w:color w:val="2C2C2A"/>
          <w:sz w:val="22"/>
          <w:szCs w:val="22"/>
        </w:rPr>
        <w:t xml:space="preserve"> (Problema-Agitación-Solución). Identificar el dolor, profundizarlo, ofrecer salida.</w:t>
      </w:r>
    </w:p>
    <w:p>
      <w:pPr>
        <w:pStyle w:val="ListParagraph"/>
        <w:numPr>
          <w:ilvl w:val="0"/>
          <w:numId w:val="2"/>
        </w:numPr>
        <w:spacing w:after="40" w:before="40"/>
      </w:pPr>
      <w:r>
        <w:rPr>
          <w:rFonts w:ascii="Arial" w:cs="Arial" w:eastAsia="Arial" w:hAnsi="Arial"/>
          <w:b/>
          <w:bCs/>
          <w:color w:val="2C2C2A"/>
          <w:sz w:val="22"/>
          <w:szCs w:val="22"/>
        </w:rPr>
        <w:t xml:space="preserve">Solution Aware → FAB + Us vs. Them</w:t>
      </w:r>
      <w:r>
        <w:rPr>
          <w:rFonts w:ascii="Arial" w:cs="Arial" w:eastAsia="Arial" w:hAnsi="Arial"/>
          <w:color w:val="2C2C2A"/>
          <w:sz w:val="22"/>
          <w:szCs w:val="22"/>
        </w:rPr>
        <w:t xml:space="preserve"> (Features-Advantages-Benefits + comparativas con la competencia).</w:t>
      </w:r>
    </w:p>
    <w:p>
      <w:pPr>
        <w:pStyle w:val="ListParagraph"/>
        <w:numPr>
          <w:ilvl w:val="0"/>
          <w:numId w:val="2"/>
        </w:numPr>
        <w:spacing w:after="40" w:before="40"/>
      </w:pPr>
      <w:r>
        <w:rPr>
          <w:rFonts w:ascii="Arial" w:cs="Arial" w:eastAsia="Arial" w:hAnsi="Arial"/>
          <w:b/>
          <w:bCs/>
          <w:color w:val="2C2C2A"/>
          <w:sz w:val="22"/>
          <w:szCs w:val="22"/>
        </w:rPr>
        <w:t xml:space="preserve">Product Aware → AIDA</w:t>
      </w:r>
      <w:r>
        <w:rPr>
          <w:rFonts w:ascii="Arial" w:cs="Arial" w:eastAsia="Arial" w:hAnsi="Arial"/>
          <w:color w:val="2C2C2A"/>
          <w:sz w:val="22"/>
          <w:szCs w:val="22"/>
        </w:rPr>
        <w:t xml:space="preserve"> (Atención-Interés-Deseo-Acción). Testimonios, demos, reducción de riesgo.</w:t>
      </w:r>
    </w:p>
    <w:p>
      <w:pPr>
        <w:pStyle w:val="ListParagraph"/>
        <w:numPr>
          <w:ilvl w:val="0"/>
          <w:numId w:val="2"/>
        </w:numPr>
        <w:spacing w:after="40" w:before="40"/>
      </w:pPr>
      <w:r>
        <w:rPr>
          <w:rFonts w:ascii="Arial" w:cs="Arial" w:eastAsia="Arial" w:hAnsi="Arial"/>
          <w:b/>
          <w:bCs/>
          <w:color w:val="2C2C2A"/>
          <w:sz w:val="22"/>
          <w:szCs w:val="22"/>
        </w:rPr>
        <w:t xml:space="preserve">Most Aware → SLAP</w:t>
      </w:r>
      <w:r>
        <w:rPr>
          <w:rFonts w:ascii="Arial" w:cs="Arial" w:eastAsia="Arial" w:hAnsi="Arial"/>
          <w:color w:val="2C2C2A"/>
          <w:sz w:val="22"/>
          <w:szCs w:val="22"/>
        </w:rPr>
        <w:t xml:space="preserve"> (Stop-Look-Act-Purchase). Urgencia, escasez y CTA directo.</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3.3. Cómo se aplican los niveles dentro de la One CBO</w:t>
      </w:r>
    </w:p>
    <w:p>
      <w:pPr>
        <w:spacing w:after="60" w:before="60"/>
        <w:jc w:val="left"/>
      </w:pPr>
      <w:r>
        <w:rPr>
          <w:rFonts w:ascii="Arial" w:cs="Arial" w:eastAsia="Arial" w:hAnsi="Arial"/>
          <w:b w:val="false"/>
          <w:bCs w:val="false"/>
          <w:i w:val="false"/>
          <w:iCs w:val="false"/>
          <w:color w:val="2C2C2A"/>
          <w:sz w:val="22"/>
          <w:szCs w:val="22"/>
        </w:rPr>
        <w:t xml:space="preserve">Un error común es pensar que la CBO debe atacar a un solo nivel de conciencia. La realidad es la opuesta: una CBO bien estructurada cubre los cuatro niveles relevantes (Problem, Solution, Product, Most Aware) en distintos batches al mismo tiempo, porque distintos bolsillos de audiencia están en distintos niveles cuando entran al embudo.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ECE7" w:val="clear"/>
            <w:tcMar>
              <w:top w:type="dxa" w:w="200"/>
              <w:left w:type="dxa" w:w="240"/>
              <w:bottom w:type="dxa" w:w="200"/>
              <w:right w:type="dxa" w:w="240"/>
            </w:tcMar>
          </w:tcPr>
          <w:p>
            <w:pPr>
              <w:spacing w:after="80" w:before="0"/>
            </w:pPr>
            <w:r>
              <w:rPr>
                <w:rFonts w:ascii="Arial" w:cs="Arial" w:eastAsia="Arial" w:hAnsi="Arial"/>
                <w:b/>
                <w:bCs/>
                <w:color w:val="993C1D"/>
                <w:sz w:val="24"/>
                <w:szCs w:val="24"/>
              </w:rPr>
              <w:t xml:space="preserve">Distribución típica del mercado</w:t>
            </w:r>
          </w:p>
          <w:p>
            <w:pPr>
              <w:spacing w:after="40" w:before="40"/>
            </w:pPr>
            <w:r>
              <w:rPr>
                <w:rFonts w:ascii="Arial" w:cs="Arial" w:eastAsia="Arial" w:hAnsi="Arial"/>
                <w:color w:val="2C2C2A"/>
                <w:sz w:val="22"/>
                <w:szCs w:val="22"/>
              </w:rPr>
              <w:t xml:space="preserve">Problem Aware suele concentrar entre el 50% y 60% del mercado: muchas personas conocen el dolor pero no la categoría de solución.</w:t>
            </w:r>
          </w:p>
          <w:p>
            <w:pPr>
              <w:spacing w:after="40" w:before="40"/>
            </w:pPr>
            <w:r>
              <w:rPr>
                <w:rFonts w:ascii="Arial" w:cs="Arial" w:eastAsia="Arial" w:hAnsi="Arial"/>
                <w:color w:val="2C2C2A"/>
                <w:sz w:val="22"/>
                <w:szCs w:val="22"/>
              </w:rPr>
              <w:t xml:space="preserve">Solution Aware ronda el 25% y 35%: ya buscaron alternativas pero no llegaron a tu producto.</w:t>
            </w:r>
          </w:p>
          <w:p>
            <w:pPr>
              <w:spacing w:after="40" w:before="40"/>
            </w:pPr>
            <w:r>
              <w:rPr>
                <w:rFonts w:ascii="Arial" w:cs="Arial" w:eastAsia="Arial" w:hAnsi="Arial"/>
                <w:color w:val="2C2C2A"/>
                <w:sz w:val="22"/>
                <w:szCs w:val="22"/>
              </w:rPr>
              <w:t xml:space="preserve">Product Aware y Most Aware suman el restante 15-20%, alimentado por retargeting y tráfico recurrente.</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3.4. Por qué importa para la One CBO</w:t>
      </w:r>
    </w:p>
    <w:p>
      <w:pPr>
        <w:pStyle w:val="ListParagraph"/>
        <w:numPr>
          <w:ilvl w:val="0"/>
          <w:numId w:val="2"/>
        </w:numPr>
        <w:spacing w:after="40" w:before="40"/>
      </w:pPr>
      <w:r>
        <w:rPr>
          <w:rFonts w:ascii="Arial" w:cs="Arial" w:eastAsia="Arial" w:hAnsi="Arial"/>
          <w:b/>
          <w:bCs/>
          <w:color w:val="2C2C2A"/>
          <w:sz w:val="22"/>
          <w:szCs w:val="22"/>
        </w:rPr>
        <w:t xml:space="preserve">Cada Ad Set respeta un nivel específico</w:t>
      </w:r>
      <w:r>
        <w:rPr>
          <w:rFonts w:ascii="Arial" w:cs="Arial" w:eastAsia="Arial" w:hAnsi="Arial"/>
          <w:color w:val="2C2C2A"/>
          <w:sz w:val="22"/>
          <w:szCs w:val="22"/>
        </w:rPr>
        <w:t xml:space="preserve"> — si el creativo habla a Problem Aware con argumentos de Most Aware, falla.</w:t>
      </w:r>
    </w:p>
    <w:p>
      <w:pPr>
        <w:pStyle w:val="ListParagraph"/>
        <w:numPr>
          <w:ilvl w:val="0"/>
          <w:numId w:val="2"/>
        </w:numPr>
        <w:spacing w:after="40" w:before="40"/>
      </w:pPr>
      <w:r>
        <w:rPr>
          <w:rFonts w:ascii="Arial" w:cs="Arial" w:eastAsia="Arial" w:hAnsi="Arial"/>
          <w:b/>
          <w:bCs/>
          <w:color w:val="2C2C2A"/>
          <w:sz w:val="22"/>
          <w:szCs w:val="22"/>
        </w:rPr>
        <w:t xml:space="preserve">Los hooks varían por nivel</w:t>
      </w:r>
      <w:r>
        <w:rPr>
          <w:rFonts w:ascii="Arial" w:cs="Arial" w:eastAsia="Arial" w:hAnsi="Arial"/>
          <w:color w:val="2C2C2A"/>
          <w:sz w:val="22"/>
          <w:szCs w:val="22"/>
        </w:rPr>
        <w:t xml:space="preserve"> — Problem Aware abre con dolor; Solution Aware con comparación; Product Aware con prueba; Most Aware con oferta.</w:t>
      </w:r>
    </w:p>
    <w:p>
      <w:pPr>
        <w:pStyle w:val="ListParagraph"/>
        <w:numPr>
          <w:ilvl w:val="0"/>
          <w:numId w:val="2"/>
        </w:numPr>
        <w:spacing w:after="40" w:before="40"/>
      </w:pPr>
      <w:r>
        <w:rPr>
          <w:rFonts w:ascii="Arial" w:cs="Arial" w:eastAsia="Arial" w:hAnsi="Arial"/>
          <w:b/>
          <w:bCs/>
          <w:color w:val="2C2C2A"/>
          <w:sz w:val="22"/>
          <w:szCs w:val="22"/>
        </w:rPr>
        <w:t xml:space="preserve">Andromeda usa el nivel para clasificar el bolsillo</w:t>
      </w:r>
      <w:r>
        <w:rPr>
          <w:rFonts w:ascii="Arial" w:cs="Arial" w:eastAsia="Arial" w:hAnsi="Arial"/>
          <w:color w:val="2C2C2A"/>
          <w:sz w:val="22"/>
          <w:szCs w:val="22"/>
        </w:rPr>
        <w:t xml:space="preserve"> — un copy de nivel Solution Aware atrae personas que ya buscaron soluciones; uno Most Aware atrae compradores activos.</w:t>
      </w:r>
    </w:p>
    <w:p>
      <w:pPr>
        <w:pStyle w:val="ListParagraph"/>
        <w:numPr>
          <w:ilvl w:val="0"/>
          <w:numId w:val="2"/>
        </w:numPr>
        <w:spacing w:after="40" w:before="40"/>
      </w:pPr>
      <w:r>
        <w:rPr>
          <w:rFonts w:ascii="Arial" w:cs="Arial" w:eastAsia="Arial" w:hAnsi="Arial"/>
          <w:b/>
          <w:bCs/>
          <w:color w:val="2C2C2A"/>
          <w:sz w:val="22"/>
          <w:szCs w:val="22"/>
        </w:rPr>
        <w:t xml:space="preserve">La diversidad de niveles dentro de la CBO es lo que permite captar todos los bolsillos</w:t>
      </w:r>
      <w:r>
        <w:rPr>
          <w:rFonts w:ascii="Arial" w:cs="Arial" w:eastAsia="Arial" w:hAnsi="Arial"/>
          <w:color w:val="2C2C2A"/>
          <w:sz w:val="22"/>
          <w:szCs w:val="22"/>
        </w:rPr>
        <w:t xml:space="preserve"> — esa es la razón por la que se construyen 15 batches que cruzan avatares, deseos y niveles.</w:t>
      </w:r>
    </w:p>
    <w:p>
      <w:r>
        <w:br w:type="page"/>
      </w:r>
    </w:p>
    <w:p>
      <w:pPr>
        <w:pStyle w:val="Heading1"/>
        <w:spacing w:after="180" w:before="360"/>
      </w:pPr>
      <w:r>
        <w:rPr>
          <w:rFonts w:ascii="Arial" w:cs="Arial" w:eastAsia="Arial" w:hAnsi="Arial"/>
          <w:b/>
          <w:bCs/>
          <w:color w:val="1F2A44"/>
          <w:sz w:val="36"/>
          <w:szCs w:val="36"/>
        </w:rPr>
        <w:t xml:space="preserve">4. Testeo dentro de la One CBO</w:t>
      </w:r>
    </w:p>
    <w:p>
      <w:pPr>
        <w:spacing w:after="60" w:before="60"/>
        <w:jc w:val="left"/>
      </w:pPr>
      <w:r>
        <w:rPr>
          <w:rFonts w:ascii="Arial" w:cs="Arial" w:eastAsia="Arial" w:hAnsi="Arial"/>
          <w:b w:val="false"/>
          <w:bCs w:val="false"/>
          <w:i w:val="false"/>
          <w:iCs w:val="false"/>
          <w:color w:val="2C2C2A"/>
          <w:sz w:val="22"/>
          <w:szCs w:val="22"/>
        </w:rPr>
        <w:t xml:space="preserve">El testeo en la One CBO Strategy no es un proceso separado sino una propiedad emergente de la arquitectura. Todo se testea en simultáneo dentro de la misma estructura.</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4.1. La matriz de batches</w:t>
      </w:r>
    </w:p>
    <w:p>
      <w:pPr>
        <w:spacing w:after="60" w:before="60"/>
        <w:jc w:val="left"/>
      </w:pPr>
      <w:r>
        <w:rPr>
          <w:rFonts w:ascii="Arial" w:cs="Arial" w:eastAsia="Arial" w:hAnsi="Arial"/>
          <w:b w:val="false"/>
          <w:bCs w:val="false"/>
          <w:i w:val="false"/>
          <w:iCs w:val="false"/>
          <w:color w:val="2C2C2A"/>
          <w:sz w:val="22"/>
          <w:szCs w:val="22"/>
        </w:rPr>
        <w:t xml:space="preserve">Antes de lanzar la campaña se construye una matriz de conceptos creativos a partir de la investigación de mercado:</w:t>
      </w:r>
    </w:p>
    <w:p>
      <w:pPr>
        <w:pStyle w:val="ListParagraph"/>
        <w:numPr>
          <w:ilvl w:val="0"/>
          <w:numId w:val="2"/>
        </w:numPr>
        <w:spacing w:after="40" w:before="40"/>
      </w:pPr>
      <w:r>
        <w:rPr>
          <w:rFonts w:ascii="Arial" w:cs="Arial" w:eastAsia="Arial" w:hAnsi="Arial"/>
          <w:b/>
          <w:bCs/>
          <w:color w:val="2C2C2A"/>
          <w:sz w:val="22"/>
          <w:szCs w:val="22"/>
        </w:rPr>
        <w:t xml:space="preserve">3 avatares</w:t>
      </w:r>
      <w:r>
        <w:rPr>
          <w:rFonts w:ascii="Arial" w:cs="Arial" w:eastAsia="Arial" w:hAnsi="Arial"/>
          <w:color w:val="2C2C2A"/>
          <w:sz w:val="22"/>
          <w:szCs w:val="22"/>
        </w:rPr>
        <w:t xml:space="preserve"> — segmentos de la audiencia con perfiles emocionales distintos.</w:t>
      </w:r>
    </w:p>
    <w:p>
      <w:pPr>
        <w:pStyle w:val="ListParagraph"/>
        <w:numPr>
          <w:ilvl w:val="0"/>
          <w:numId w:val="2"/>
        </w:numPr>
        <w:spacing w:after="40" w:before="40"/>
      </w:pPr>
      <w:r>
        <w:rPr>
          <w:rFonts w:ascii="Arial" w:cs="Arial" w:eastAsia="Arial" w:hAnsi="Arial"/>
          <w:b/>
          <w:bCs/>
          <w:color w:val="2C2C2A"/>
          <w:sz w:val="22"/>
          <w:szCs w:val="22"/>
        </w:rPr>
        <w:t xml:space="preserve">5 deseos por avatar</w:t>
      </w:r>
      <w:r>
        <w:rPr>
          <w:rFonts w:ascii="Arial" w:cs="Arial" w:eastAsia="Arial" w:hAnsi="Arial"/>
          <w:color w:val="2C2C2A"/>
          <w:sz w:val="22"/>
          <w:szCs w:val="22"/>
        </w:rPr>
        <w:t xml:space="preserve"> — los puntos de mayor intensidad emocional para cada uno.</w:t>
      </w:r>
    </w:p>
    <w:p>
      <w:pPr>
        <w:pStyle w:val="ListParagraph"/>
        <w:numPr>
          <w:ilvl w:val="0"/>
          <w:numId w:val="2"/>
        </w:numPr>
        <w:spacing w:after="40" w:before="40"/>
      </w:pPr>
      <w:r>
        <w:rPr>
          <w:rFonts w:ascii="Arial" w:cs="Arial" w:eastAsia="Arial" w:hAnsi="Arial"/>
          <w:b/>
          <w:bCs/>
          <w:color w:val="2C2C2A"/>
          <w:sz w:val="22"/>
          <w:szCs w:val="22"/>
        </w:rPr>
        <w:t xml:space="preserve">3 × 5 = 15 batches base</w:t>
      </w:r>
      <w:r>
        <w:rPr>
          <w:rFonts w:ascii="Arial" w:cs="Arial" w:eastAsia="Arial" w:hAnsi="Arial"/>
          <w:color w:val="2C2C2A"/>
          <w:sz w:val="22"/>
          <w:szCs w:val="22"/>
        </w:rPr>
        <w:t xml:space="preserve"> — cada batch combina un avatar, un deseo y un nivel de conciencia óptimo.</w:t>
      </w:r>
    </w:p>
    <w:p>
      <w:pPr>
        <w:pStyle w:val="ListParagraph"/>
        <w:numPr>
          <w:ilvl w:val="0"/>
          <w:numId w:val="2"/>
        </w:numPr>
        <w:spacing w:after="40" w:before="40"/>
      </w:pPr>
      <w:r>
        <w:rPr>
          <w:rFonts w:ascii="Arial" w:cs="Arial" w:eastAsia="Arial" w:hAnsi="Arial"/>
          <w:b/>
          <w:bCs/>
          <w:color w:val="2C2C2A"/>
          <w:sz w:val="22"/>
          <w:szCs w:val="22"/>
        </w:rPr>
        <w:t xml:space="preserve">Framework 3-1-1 por batch</w:t>
      </w:r>
      <w:r>
        <w:rPr>
          <w:rFonts w:ascii="Arial" w:cs="Arial" w:eastAsia="Arial" w:hAnsi="Arial"/>
          <w:color w:val="2C2C2A"/>
          <w:sz w:val="22"/>
          <w:szCs w:val="22"/>
        </w:rPr>
        <w:t xml:space="preserve"> — 3 hooks variantes que comparten cuerpo y titular.</w:t>
      </w:r>
    </w:p>
    <w:p>
      <w:pPr>
        <w:pStyle w:val="ListParagraph"/>
        <w:numPr>
          <w:ilvl w:val="0"/>
          <w:numId w:val="2"/>
        </w:numPr>
        <w:spacing w:after="40" w:before="40"/>
      </w:pPr>
      <w:r>
        <w:rPr>
          <w:rFonts w:ascii="Arial" w:cs="Arial" w:eastAsia="Arial" w:hAnsi="Arial"/>
          <w:b/>
          <w:bCs/>
          <w:color w:val="2C2C2A"/>
          <w:sz w:val="22"/>
          <w:szCs w:val="22"/>
        </w:rPr>
        <w:t xml:space="preserve">15 batches × 3 hooks = 45 Ad Sets activos desde el primer día.</w:t>
      </w:r>
      <w:r>
        <w:rPr>
          <w:rFonts w:ascii="Arial" w:cs="Arial" w:eastAsia="Arial" w:hAnsi="Arial"/>
          <w:color w:val="2C2C2A"/>
          <w:sz w:val="22"/>
          <w:szCs w:val="22"/>
        </w:rPr>
        <w:t xml:space="preserve"/>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4.2. Reglas de lanzamiento</w:t>
      </w:r>
    </w:p>
    <w:p>
      <w:pPr>
        <w:pStyle w:val="ListParagraph"/>
        <w:numPr>
          <w:ilvl w:val="0"/>
          <w:numId w:val="2"/>
        </w:numPr>
        <w:spacing w:after="40" w:before="40"/>
      </w:pPr>
      <w:r>
        <w:rPr>
          <w:rFonts w:ascii="Arial" w:cs="Arial" w:eastAsia="Arial" w:hAnsi="Arial"/>
          <w:b/>
          <w:bCs/>
          <w:color w:val="2C2C2A"/>
          <w:sz w:val="22"/>
          <w:szCs w:val="22"/>
        </w:rPr>
        <w:t xml:space="preserve">Lanzamiento simultáneo</w:t>
      </w:r>
      <w:r>
        <w:rPr>
          <w:rFonts w:ascii="Arial" w:cs="Arial" w:eastAsia="Arial" w:hAnsi="Arial"/>
          <w:color w:val="2C2C2A"/>
          <w:sz w:val="22"/>
          <w:szCs w:val="22"/>
        </w:rPr>
        <w:t xml:space="preserve"> — los 45 Ad Sets entran al mismo tiempo. Andromeda decide cuánto presupuesto darle a cada uno.</w:t>
      </w:r>
    </w:p>
    <w:p>
      <w:pPr>
        <w:pStyle w:val="ListParagraph"/>
        <w:numPr>
          <w:ilvl w:val="0"/>
          <w:numId w:val="2"/>
        </w:numPr>
        <w:spacing w:after="40" w:before="40"/>
      </w:pPr>
      <w:r>
        <w:rPr>
          <w:rFonts w:ascii="Arial" w:cs="Arial" w:eastAsia="Arial" w:hAnsi="Arial"/>
          <w:b/>
          <w:bCs/>
          <w:color w:val="2C2C2A"/>
          <w:sz w:val="22"/>
          <w:szCs w:val="22"/>
        </w:rPr>
        <w:t xml:space="preserve">No se lanza escalonado</w:t>
      </w:r>
      <w:r>
        <w:rPr>
          <w:rFonts w:ascii="Arial" w:cs="Arial" w:eastAsia="Arial" w:hAnsi="Arial"/>
          <w:color w:val="2C2C2A"/>
          <w:sz w:val="22"/>
          <w:szCs w:val="22"/>
        </w:rPr>
        <w:t xml:space="preserve"> — fragmentar el lanzamiento le quita información al algoritmo.</w:t>
      </w:r>
    </w:p>
    <w:p>
      <w:pPr>
        <w:pStyle w:val="ListParagraph"/>
        <w:numPr>
          <w:ilvl w:val="0"/>
          <w:numId w:val="2"/>
        </w:numPr>
        <w:spacing w:after="40" w:before="40"/>
      </w:pPr>
      <w:r>
        <w:rPr>
          <w:rFonts w:ascii="Arial" w:cs="Arial" w:eastAsia="Arial" w:hAnsi="Arial"/>
          <w:b/>
          <w:bCs/>
          <w:color w:val="2C2C2A"/>
          <w:sz w:val="22"/>
          <w:szCs w:val="22"/>
        </w:rPr>
        <w:t xml:space="preserve">Sin presupuestos por Ad Set</w:t>
      </w:r>
      <w:r>
        <w:rPr>
          <w:rFonts w:ascii="Arial" w:cs="Arial" w:eastAsia="Arial" w:hAnsi="Arial"/>
          <w:color w:val="2C2C2A"/>
          <w:sz w:val="22"/>
          <w:szCs w:val="22"/>
        </w:rPr>
        <w:t xml:space="preserve"> — el presupuesto vive en la CBO, no en cada Ad Set.</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4.3.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1F5EE" w:val="clear"/>
            <w:tcMar>
              <w:top w:type="dxa" w:w="200"/>
              <w:left w:type="dxa" w:w="240"/>
              <w:bottom w:type="dxa" w:w="200"/>
              <w:right w:type="dxa" w:w="240"/>
            </w:tcMar>
          </w:tcPr>
          <w:p>
            <w:pPr>
              <w:spacing w:after="80" w:before="0"/>
            </w:pPr>
            <w:r>
              <w:rPr>
                <w:rFonts w:ascii="Arial" w:cs="Arial" w:eastAsia="Arial" w:hAnsi="Arial"/>
                <w:b/>
                <w:bCs/>
                <w:color w:val="0F6E56"/>
                <w:sz w:val="24"/>
                <w:szCs w:val="24"/>
              </w:rPr>
              <w:t xml:space="preserve">La única métrica de decisión</w:t>
            </w:r>
          </w:p>
          <w:p>
            <w:pPr>
              <w:spacing w:after="40" w:before="40"/>
            </w:pPr>
            <w:r>
              <w:rPr>
                <w:rFonts w:ascii="Arial" w:cs="Arial" w:eastAsia="Arial" w:hAnsi="Arial"/>
                <w:color w:val="2C2C2A"/>
                <w:sz w:val="22"/>
                <w:szCs w:val="22"/>
              </w:rPr>
              <w:t xml:space="preserve">CPA a nivel CBO. Si el CPA general de la campaña es rentable, el sistema funciona — independientemente de lo que pase en cada Ad Set individual.</w:t>
            </w:r>
          </w:p>
          <w:p>
            <w:pPr>
              <w:spacing w:after="40" w:before="40"/>
            </w:pPr>
            <w:r>
              <w:rPr>
                <w:rFonts w:ascii="Arial" w:cs="Arial" w:eastAsia="Arial" w:hAnsi="Arial"/>
                <w:color w:val="2C2C2A"/>
                <w:sz w:val="22"/>
                <w:szCs w:val="22"/>
              </w:rPr>
              <w:t xml:space="preserve">Las métricas blandas (Hook Rate, Hold Rate, CTR, CPC) no se usan para encender ni apagar nada. Se leen exclusivamente para dar feedback al equipo de creativos.</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4.4. Lo que NO es señal de problema</w:t>
      </w:r>
    </w:p>
    <w:p>
      <w:pPr>
        <w:pStyle w:val="ListParagraph"/>
        <w:numPr>
          <w:ilvl w:val="0"/>
          <w:numId w:val="2"/>
        </w:numPr>
        <w:spacing w:after="40" w:before="40"/>
      </w:pPr>
      <w:r>
        <w:rPr>
          <w:rFonts w:ascii="Arial" w:cs="Arial" w:eastAsia="Arial" w:hAnsi="Arial"/>
          <w:b/>
          <w:bCs/>
          <w:color w:val="2C2C2A"/>
          <w:sz w:val="22"/>
          <w:szCs w:val="22"/>
        </w:rPr>
        <w:t xml:space="preserve">Un Ad Set con CPA alto</w:t>
      </w:r>
      <w:r>
        <w:rPr>
          <w:rFonts w:ascii="Arial" w:cs="Arial" w:eastAsia="Arial" w:hAnsi="Arial"/>
          <w:color w:val="2C2C2A"/>
          <w:sz w:val="22"/>
          <w:szCs w:val="22"/>
        </w:rPr>
        <w:t xml:space="preserve"> si el CPA general de la CBO es rentable. Puede estar alimentando retargeting que otros capturan.</w:t>
      </w:r>
    </w:p>
    <w:p>
      <w:pPr>
        <w:pStyle w:val="ListParagraph"/>
        <w:numPr>
          <w:ilvl w:val="0"/>
          <w:numId w:val="2"/>
        </w:numPr>
        <w:spacing w:after="40" w:before="40"/>
      </w:pPr>
      <w:r>
        <w:rPr>
          <w:rFonts w:ascii="Arial" w:cs="Arial" w:eastAsia="Arial" w:hAnsi="Arial"/>
          <w:b/>
          <w:bCs/>
          <w:color w:val="2C2C2A"/>
          <w:sz w:val="22"/>
          <w:szCs w:val="22"/>
        </w:rPr>
        <w:t xml:space="preserve">Un Ad Set con $0 de gasto en los primeros 1 a 14 días</w:t>
      </w:r>
      <w:r>
        <w:rPr>
          <w:rFonts w:ascii="Arial" w:cs="Arial" w:eastAsia="Arial" w:hAnsi="Arial"/>
          <w:color w:val="2C2C2A"/>
          <w:sz w:val="22"/>
          <w:szCs w:val="22"/>
        </w:rPr>
        <w:t xml:space="preserve"> — Meta lo está reservando para subastas futuras.</w:t>
      </w:r>
    </w:p>
    <w:p>
      <w:pPr>
        <w:pStyle w:val="ListParagraph"/>
        <w:numPr>
          <w:ilvl w:val="0"/>
          <w:numId w:val="2"/>
        </w:numPr>
        <w:spacing w:after="40" w:before="40"/>
      </w:pPr>
      <w:r>
        <w:rPr>
          <w:rFonts w:ascii="Arial" w:cs="Arial" w:eastAsia="Arial" w:hAnsi="Arial"/>
          <w:b/>
          <w:bCs/>
          <w:color w:val="2C2C2A"/>
          <w:sz w:val="22"/>
          <w:szCs w:val="22"/>
        </w:rPr>
        <w:t xml:space="preserve">Fluctuación de CPA día a día</w:t>
      </w:r>
      <w:r>
        <w:rPr>
          <w:rFonts w:ascii="Arial" w:cs="Arial" w:eastAsia="Arial" w:hAnsi="Arial"/>
          <w:color w:val="2C2C2A"/>
          <w:sz w:val="22"/>
          <w:szCs w:val="22"/>
        </w:rPr>
        <w:t xml:space="preserve"> — es síntoma de baja diversidad de creativos, no de campaña rota.</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4.5. Lo que SÍ es señal de problema</w:t>
      </w:r>
    </w:p>
    <w:p>
      <w:pPr>
        <w:pStyle w:val="ListParagraph"/>
        <w:numPr>
          <w:ilvl w:val="0"/>
          <w:numId w:val="2"/>
        </w:numPr>
        <w:spacing w:after="40" w:before="40"/>
      </w:pPr>
      <w:r>
        <w:rPr>
          <w:rFonts w:ascii="Arial" w:cs="Arial" w:eastAsia="Arial" w:hAnsi="Arial"/>
          <w:b/>
          <w:bCs/>
          <w:color w:val="2C2C2A"/>
          <w:sz w:val="22"/>
          <w:szCs w:val="22"/>
        </w:rPr>
        <w:t xml:space="preserve">CPA general de la CBO por encima del objetivo durante 3 a 7 días sostenidos.</w:t>
      </w:r>
      <w:r>
        <w:rPr>
          <w:rFonts w:ascii="Arial" w:cs="Arial" w:eastAsia="Arial" w:hAnsi="Arial"/>
          <w:color w:val="2C2C2A"/>
          <w:sz w:val="22"/>
          <w:szCs w:val="22"/>
        </w:rPr>
        <w:t xml:space="preserve"/>
      </w:r>
    </w:p>
    <w:p>
      <w:pPr>
        <w:pStyle w:val="ListParagraph"/>
        <w:numPr>
          <w:ilvl w:val="0"/>
          <w:numId w:val="2"/>
        </w:numPr>
        <w:spacing w:after="40" w:before="40"/>
      </w:pPr>
      <w:r>
        <w:rPr>
          <w:rFonts w:ascii="Arial" w:cs="Arial" w:eastAsia="Arial" w:hAnsi="Arial"/>
          <w:b/>
          <w:bCs/>
          <w:color w:val="2C2C2A"/>
          <w:sz w:val="22"/>
          <w:szCs w:val="22"/>
        </w:rPr>
        <w:t xml:space="preserve">Saturación de creativos</w:t>
      </w:r>
      <w:r>
        <w:rPr>
          <w:rFonts w:ascii="Arial" w:cs="Arial" w:eastAsia="Arial" w:hAnsi="Arial"/>
          <w:color w:val="2C2C2A"/>
          <w:sz w:val="22"/>
          <w:szCs w:val="22"/>
        </w:rPr>
        <w:t xml:space="preserve"> (frecuencia general muy alta) — pide inyección de conceptos nuevos.</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4.6. Reglas de apagado (Kill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4"/>
              <w:left w:val="single" w:color="CCCCCC" w:sz="4"/>
              <w:bottom w:val="single" w:color="CCCCCC" w:sz="4"/>
              <w:right w:val="single" w:color="CCCCCC" w:sz="4"/>
            </w:tcBorders>
            <w:shd w:fill="0F6E5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Regla</w:t>
            </w:r>
          </w:p>
        </w:tc>
        <w:tc>
          <w:tcPr>
            <w:tcBorders>
              <w:top w:val="single" w:color="CCCCCC" w:sz="4"/>
              <w:left w:val="single" w:color="CCCCCC" w:sz="4"/>
              <w:bottom w:val="single" w:color="CCCCCC" w:sz="4"/>
              <w:right w:val="single" w:color="CCCCCC" w:sz="4"/>
            </w:tcBorders>
            <w:shd w:fill="0F6E5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Condición de pausa</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Kill Rule 1</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Ad Set con gasto bajo + CPA no rentable + más de 3 a 7 días activo.</w:t>
            </w:r>
          </w:p>
        </w:tc>
      </w:tr>
      <w:tr>
        <w:tc>
          <w:tcPr>
            <w:tcW w:type="dxa" w:w="3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Kill Rule 2</w:t>
            </w:r>
          </w:p>
        </w:tc>
        <w:tc>
          <w:tcPr>
            <w:tcW w:type="dxa" w:w="6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Cuenta cerca del límite de activos (~467) y se necesita inyectar conceptos nuevos. Pausar Ad Sets con menor gasto histórico para liberar espacio.</w:t>
            </w:r>
          </w:p>
        </w:tc>
      </w:tr>
    </w:tbl>
    <w:p>
      <w:pPr>
        <w:spacing w:after="120" w:before="120"/>
      </w:pPr>
      <w:r>
        <w:t xml:space="preserve"/>
      </w:r>
    </w:p>
    <w:p>
      <w:pPr>
        <w:spacing w:after="60" w:before="60"/>
        <w:jc w:val="left"/>
      </w:pPr>
      <w:r>
        <w:rPr>
          <w:rFonts w:ascii="Arial" w:cs="Arial" w:eastAsia="Arial" w:hAnsi="Arial"/>
          <w:b w:val="false"/>
          <w:bCs w:val="false"/>
          <w:i/>
          <w:iCs/>
          <w:color w:val="5F5E5A"/>
          <w:sz w:val="22"/>
          <w:szCs w:val="22"/>
        </w:rPr>
        <w:t xml:space="preserve">Todo lo demás se deja correr. Un Ad Set con CPA malo y alto gasto puede estar generando tráfico frío que otros capturan en retargeting dentro de la misma CBO. Meta gestiona esa sinergia internamente.</w:t>
      </w:r>
    </w:p>
    <w:p>
      <w:r>
        <w:br w:type="page"/>
      </w:r>
    </w:p>
    <w:p>
      <w:pPr>
        <w:pStyle w:val="Heading1"/>
        <w:spacing w:after="180" w:before="360"/>
      </w:pPr>
      <w:r>
        <w:rPr>
          <w:rFonts w:ascii="Arial" w:cs="Arial" w:eastAsia="Arial" w:hAnsi="Arial"/>
          <w:b/>
          <w:bCs/>
          <w:color w:val="1F2A44"/>
          <w:sz w:val="36"/>
          <w:szCs w:val="36"/>
        </w:rPr>
        <w:t xml:space="preserve">5. Iteración: mutación, no edición</w:t>
      </w:r>
    </w:p>
    <w:p>
      <w:pPr>
        <w:spacing w:after="60" w:before="60"/>
        <w:jc w:val="left"/>
      </w:pPr>
      <w:r>
        <w:rPr>
          <w:rFonts w:ascii="Arial" w:cs="Arial" w:eastAsia="Arial" w:hAnsi="Arial"/>
          <w:b w:val="false"/>
          <w:bCs w:val="false"/>
          <w:i w:val="false"/>
          <w:iCs w:val="false"/>
          <w:color w:val="2C2C2A"/>
          <w:sz w:val="22"/>
          <w:szCs w:val="22"/>
        </w:rPr>
        <w:t xml:space="preserve">Cuando un batch demuestra ser ganador, la tentación es editarlo o ajustarlo. En la One CBO Strategy esto está prohibido. La regla es: nunca se toca un Ad Set ganador. Se muta, generando nuevos Ad Sets dentro de la misma CBO.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EEDA" w:val="clear"/>
            <w:tcMar>
              <w:top w:type="dxa" w:w="200"/>
              <w:left w:type="dxa" w:w="240"/>
              <w:bottom w:type="dxa" w:w="200"/>
              <w:right w:type="dxa" w:w="240"/>
            </w:tcMar>
          </w:tcPr>
          <w:p>
            <w:pPr>
              <w:spacing w:after="80" w:before="0"/>
            </w:pPr>
            <w:r>
              <w:rPr>
                <w:rFonts w:ascii="Arial" w:cs="Arial" w:eastAsia="Arial" w:hAnsi="Arial"/>
                <w:b/>
                <w:bCs/>
                <w:color w:val="854F0B"/>
                <w:sz w:val="24"/>
                <w:szCs w:val="24"/>
              </w:rPr>
              <w:t xml:space="preserve">Por qué no se edita</w:t>
            </w:r>
          </w:p>
          <w:p>
            <w:pPr>
              <w:spacing w:after="40" w:before="40"/>
            </w:pPr>
            <w:r>
              <w:rPr>
                <w:rFonts w:ascii="Arial" w:cs="Arial" w:eastAsia="Arial" w:hAnsi="Arial"/>
                <w:color w:val="2C2C2A"/>
                <w:sz w:val="22"/>
                <w:szCs w:val="22"/>
              </w:rPr>
              <w:t xml:space="preserve">Editar un Ad Set ganador resetea su aprendizaje y mata la señal acumulada por Andromeda.</w:t>
            </w:r>
          </w:p>
          <w:p>
            <w:pPr>
              <w:spacing w:after="40" w:before="40"/>
            </w:pPr>
            <w:r>
              <w:rPr>
                <w:rFonts w:ascii="Arial" w:cs="Arial" w:eastAsia="Arial" w:hAnsi="Arial"/>
                <w:color w:val="2C2C2A"/>
                <w:sz w:val="22"/>
                <w:szCs w:val="22"/>
              </w:rPr>
              <w:t xml:space="preserve">Los Ad Sets nuevos heredan información del aprendizaje general de la CBO sin destruir lo que ya funciona.</w:t>
            </w:r>
          </w:p>
          <w:p>
            <w:pPr>
              <w:spacing w:after="40" w:before="40"/>
            </w:pPr>
            <w:r>
              <w:rPr>
                <w:rFonts w:ascii="Arial" w:cs="Arial" w:eastAsia="Arial" w:hAnsi="Arial"/>
                <w:color w:val="2C2C2A"/>
                <w:sz w:val="22"/>
                <w:szCs w:val="22"/>
              </w:rPr>
              <w:t xml:space="preserve">Cada mutación es un experimento adicional, no un reemplazo.</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5.1. Tipos de mutación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4"/>
              <w:left w:val="single" w:color="CCCCCC" w:sz="4"/>
              <w:bottom w:val="single" w:color="CCCCCC" w:sz="4"/>
              <w:right w:val="single" w:color="CCCCCC" w:sz="4"/>
            </w:tcBorders>
            <w:shd w:fill="854F0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Tipo</w:t>
            </w:r>
          </w:p>
        </w:tc>
        <w:tc>
          <w:tcPr>
            <w:tcBorders>
              <w:top w:val="single" w:color="CCCCCC" w:sz="4"/>
              <w:left w:val="single" w:color="CCCCCC" w:sz="4"/>
              <w:bottom w:val="single" w:color="CCCCCC" w:sz="4"/>
              <w:right w:val="single" w:color="CCCCCC" w:sz="4"/>
            </w:tcBorders>
            <w:shd w:fill="854F0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Qué se cambia y qué se mantiene</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Mutación A</w:t>
            </w:r>
          </w:p>
        </w:tc>
        <w:tc>
          <w:tcPr>
            <w:tcW w:type="dxa" w:w="7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Se generan 3 hooks nuevos manteniendo el mismo cuerpo, copy y headline del batch ganador. Se entra como un Ad Set nuevo.</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Mutación B</w:t>
            </w:r>
          </w:p>
        </w:tc>
        <w:tc>
          <w:tcPr>
            <w:tcW w:type="dxa" w:w="7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El mismo mensaje psicológico se traduce a un formato radicalmente distinto: meme, green screen, sticky note, estilo Reddit, imagen cruda, talking head. Mismo deseo, otra envoltura.</w:t>
            </w:r>
          </w:p>
        </w:tc>
      </w:tr>
      <w:tr>
        <w:tc>
          <w:tcPr>
            <w:tcW w:type="dxa" w:w="2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Ángulo alternativo</w:t>
            </w:r>
          </w:p>
        </w:tc>
        <w:tc>
          <w:tcPr>
            <w:tcW w:type="dxa" w:w="71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rFonts w:ascii="Arial" w:cs="Arial" w:eastAsia="Arial" w:hAnsi="Arial"/>
                <w:color w:val="2C2C2A"/>
                <w:sz w:val="20"/>
                <w:szCs w:val="20"/>
              </w:rPr>
              <w:t xml:space="preserve">Mismo avatar y mismo deseo, pero el ángulo de entrada cambia (de miedo a aspiración, de prueba social a urgencia, etc.).</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5.2. Reglas de la iteración</w:t>
      </w:r>
    </w:p>
    <w:p>
      <w:pPr>
        <w:pStyle w:val="ListParagraph"/>
        <w:numPr>
          <w:ilvl w:val="0"/>
          <w:numId w:val="2"/>
        </w:numPr>
        <w:spacing w:after="40" w:before="40"/>
      </w:pPr>
      <w:r>
        <w:rPr>
          <w:rFonts w:ascii="Arial" w:cs="Arial" w:eastAsia="Arial" w:hAnsi="Arial"/>
          <w:b/>
          <w:bCs/>
          <w:color w:val="2C2C2A"/>
          <w:sz w:val="22"/>
          <w:szCs w:val="22"/>
        </w:rPr>
        <w:t xml:space="preserve">Cada mutación entra como Ad Set nuevo</w:t>
      </w:r>
      <w:r>
        <w:rPr>
          <w:rFonts w:ascii="Arial" w:cs="Arial" w:eastAsia="Arial" w:hAnsi="Arial"/>
          <w:color w:val="2C2C2A"/>
          <w:sz w:val="22"/>
          <w:szCs w:val="22"/>
        </w:rPr>
        <w:t xml:space="preserve"> — nunca reemplaza al ganador.</w:t>
      </w:r>
    </w:p>
    <w:p>
      <w:pPr>
        <w:pStyle w:val="ListParagraph"/>
        <w:numPr>
          <w:ilvl w:val="0"/>
          <w:numId w:val="2"/>
        </w:numPr>
        <w:spacing w:after="40" w:before="40"/>
      </w:pPr>
      <w:r>
        <w:rPr>
          <w:rFonts w:ascii="Arial" w:cs="Arial" w:eastAsia="Arial" w:hAnsi="Arial"/>
          <w:b/>
          <w:bCs/>
          <w:color w:val="2C2C2A"/>
          <w:sz w:val="22"/>
          <w:szCs w:val="22"/>
        </w:rPr>
        <w:t xml:space="preserve">El batch original se deja correr</w:t>
      </w:r>
      <w:r>
        <w:rPr>
          <w:rFonts w:ascii="Arial" w:cs="Arial" w:eastAsia="Arial" w:hAnsi="Arial"/>
          <w:color w:val="2C2C2A"/>
          <w:sz w:val="22"/>
          <w:szCs w:val="22"/>
        </w:rPr>
        <w:t xml:space="preserve"> — sigue capturando su bolsillo de audiencia.</w:t>
      </w:r>
    </w:p>
    <w:p>
      <w:pPr>
        <w:pStyle w:val="ListParagraph"/>
        <w:numPr>
          <w:ilvl w:val="0"/>
          <w:numId w:val="2"/>
        </w:numPr>
        <w:spacing w:after="40" w:before="40"/>
      </w:pPr>
      <w:r>
        <w:rPr>
          <w:rFonts w:ascii="Arial" w:cs="Arial" w:eastAsia="Arial" w:hAnsi="Arial"/>
          <w:b/>
          <w:bCs/>
          <w:color w:val="2C2C2A"/>
          <w:sz w:val="22"/>
          <w:szCs w:val="22"/>
        </w:rPr>
        <w:t xml:space="preserve">Las mutaciones se evalúan contra el CPA general de la CBO</w:t>
      </w:r>
      <w:r>
        <w:rPr>
          <w:rFonts w:ascii="Arial" w:cs="Arial" w:eastAsia="Arial" w:hAnsi="Arial"/>
          <w:color w:val="2C2C2A"/>
          <w:sz w:val="22"/>
          <w:szCs w:val="22"/>
        </w:rPr>
        <w:t xml:space="preserve"> — no contra el ganador original.</w:t>
      </w:r>
    </w:p>
    <w:p>
      <w:pPr>
        <w:pStyle w:val="ListParagraph"/>
        <w:numPr>
          <w:ilvl w:val="0"/>
          <w:numId w:val="2"/>
        </w:numPr>
        <w:spacing w:after="40" w:before="40"/>
      </w:pPr>
      <w:r>
        <w:rPr>
          <w:rFonts w:ascii="Arial" w:cs="Arial" w:eastAsia="Arial" w:hAnsi="Arial"/>
          <w:b/>
          <w:bCs/>
          <w:color w:val="2C2C2A"/>
          <w:sz w:val="22"/>
          <w:szCs w:val="22"/>
        </w:rPr>
        <w:t xml:space="preserve">Si la mutación supera al ganador, no se elimina el ganador</w:t>
      </w:r>
      <w:r>
        <w:rPr>
          <w:rFonts w:ascii="Arial" w:cs="Arial" w:eastAsia="Arial" w:hAnsi="Arial"/>
          <w:color w:val="2C2C2A"/>
          <w:sz w:val="22"/>
          <w:szCs w:val="22"/>
        </w:rPr>
        <w:t xml:space="preserve"> — coexisten alimentando la diversidad de la CBO.</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5.3. Alimentación continua: la cuota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AEEDA" w:val="clear"/>
            <w:tcMar>
              <w:top w:type="dxa" w:w="200"/>
              <w:left w:type="dxa" w:w="240"/>
              <w:bottom w:type="dxa" w:w="200"/>
              <w:right w:type="dxa" w:w="240"/>
            </w:tcMar>
          </w:tcPr>
          <w:p>
            <w:pPr>
              <w:spacing w:after="80" w:before="0"/>
            </w:pPr>
            <w:r>
              <w:rPr>
                <w:rFonts w:ascii="Arial" w:cs="Arial" w:eastAsia="Arial" w:hAnsi="Arial"/>
                <w:b/>
                <w:bCs/>
                <w:color w:val="854F0B"/>
                <w:sz w:val="24"/>
                <w:szCs w:val="24"/>
              </w:rPr>
              <w:t xml:space="preserve">Cuota mínima sostenible</w:t>
            </w:r>
          </w:p>
          <w:p>
            <w:pPr>
              <w:spacing w:after="40" w:before="40"/>
            </w:pPr>
            <w:r>
              <w:rPr>
                <w:rFonts w:ascii="Arial" w:cs="Arial" w:eastAsia="Arial" w:hAnsi="Arial"/>
                <w:color w:val="2C2C2A"/>
                <w:sz w:val="22"/>
                <w:szCs w:val="22"/>
              </w:rPr>
              <w:t xml:space="preserve">15 conceptos creativos únicos por semana.</w:t>
            </w:r>
          </w:p>
          <w:p>
            <w:pPr>
              <w:spacing w:after="40" w:before="40"/>
            </w:pPr>
            <w:r>
              <w:rPr>
                <w:rFonts w:ascii="Arial" w:cs="Arial" w:eastAsia="Arial" w:hAnsi="Arial"/>
                <w:color w:val="2C2C2A"/>
                <w:sz w:val="22"/>
                <w:szCs w:val="22"/>
              </w:rPr>
              <w:t xml:space="preserve">Esos conceptos vienen de dos fuentes: expansión de la matriz existente (deseos y ángulos sin explorar) y mutación de batches ganadores.</w:t>
            </w:r>
          </w:p>
          <w:p>
            <w:pPr>
              <w:spacing w:after="40" w:before="40"/>
            </w:pPr>
            <w:r>
              <w:rPr>
                <w:rFonts w:ascii="Arial" w:cs="Arial" w:eastAsia="Arial" w:hAnsi="Arial"/>
                <w:color w:val="2C2C2A"/>
                <w:sz w:val="22"/>
                <w:szCs w:val="22"/>
              </w:rPr>
              <w:t xml:space="preserve">Sin esta inyección constante, los bolsillos de audiencia se agotan y el CPA empieza a deteriorarse.</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5.4. Escalado y batches secundarios</w:t>
      </w:r>
    </w:p>
    <w:p>
      <w:pPr>
        <w:spacing w:after="60" w:before="60"/>
        <w:jc w:val="left"/>
      </w:pPr>
      <w:r>
        <w:rPr>
          <w:rFonts w:ascii="Arial" w:cs="Arial" w:eastAsia="Arial" w:hAnsi="Arial"/>
          <w:b w:val="false"/>
          <w:bCs w:val="false"/>
          <w:i w:val="false"/>
          <w:iCs w:val="false"/>
          <w:color w:val="2C2C2A"/>
          <w:sz w:val="22"/>
          <w:szCs w:val="22"/>
        </w:rPr>
        <w:t xml:space="preserve">Una vez que dos o tres batches tienen métricas sólidas y están en proceso de iteración, se abren los siguientes batches de la matriz: los deseos 3, 4 y 5 de cada avatar.</w:t>
      </w:r>
    </w:p>
    <w:p>
      <w:pPr>
        <w:spacing w:after="60" w:before="60"/>
        <w:jc w:val="left"/>
      </w:pPr>
      <w:r>
        <w:rPr>
          <w:rFonts w:ascii="Arial" w:cs="Arial" w:eastAsia="Arial" w:hAnsi="Arial"/>
          <w:b w:val="false"/>
          <w:bCs w:val="false"/>
          <w:i w:val="false"/>
          <w:iCs w:val="false"/>
          <w:color w:val="2C2C2A"/>
          <w:sz w:val="22"/>
          <w:szCs w:val="22"/>
        </w:rPr>
        <w:t xml:space="preserve">Los deseos 1 y 2 son los de mayor urgencia y los que más rápido convierten en frío. Los deseos 3, 4 y 5 son más profundos emocionalmente y funcionan mejor cuando el avatar ya tuvo contacto con la marca, ya sea por retargeting o porque el algoritmo encontró lookalikes de los convertidores tempranos.</w:t>
      </w:r>
    </w:p>
    <w:p>
      <w:pPr>
        <w:spacing w:after="120" w:before="120"/>
      </w:pPr>
      <w:r>
        <w:t xml:space="preserve"/>
      </w:r>
    </w:p>
    <w:p>
      <w:pPr>
        <w:pStyle w:val="Heading2"/>
        <w:spacing w:after="140" w:before="280"/>
      </w:pPr>
      <w:r>
        <w:rPr>
          <w:rFonts w:ascii="Arial" w:cs="Arial" w:eastAsia="Arial" w:hAnsi="Arial"/>
          <w:b/>
          <w:bCs/>
          <w:color w:val="3C3489"/>
          <w:sz w:val="28"/>
          <w:szCs w:val="28"/>
        </w:rPr>
        <w:t xml:space="preserve">5.5. Documentación del sistema</w:t>
      </w:r>
    </w:p>
    <w:p>
      <w:pPr>
        <w:spacing w:after="60" w:before="60"/>
        <w:jc w:val="left"/>
      </w:pPr>
      <w:r>
        <w:rPr>
          <w:rFonts w:ascii="Arial" w:cs="Arial" w:eastAsia="Arial" w:hAnsi="Arial"/>
          <w:b w:val="false"/>
          <w:bCs w:val="false"/>
          <w:i w:val="false"/>
          <w:iCs w:val="false"/>
          <w:color w:val="2C2C2A"/>
          <w:sz w:val="22"/>
          <w:szCs w:val="22"/>
        </w:rPr>
        <w:t xml:space="preserve">Cada batch que se itera y cada variante que se testea genera aprendizaje que hay que documentar:</w:t>
      </w:r>
    </w:p>
    <w:p>
      <w:pPr>
        <w:pStyle w:val="ListParagraph"/>
        <w:numPr>
          <w:ilvl w:val="0"/>
          <w:numId w:val="2"/>
        </w:numPr>
        <w:spacing w:after="40" w:before="40"/>
      </w:pPr>
      <w:r>
        <w:rPr>
          <w:rFonts w:ascii="Arial" w:cs="Arial" w:eastAsia="Arial" w:hAnsi="Arial"/>
          <w:color w:val="2C2C2A"/>
          <w:sz w:val="22"/>
          <w:szCs w:val="22"/>
        </w:rPr>
        <w:t xml:space="preserve">Qué ángulo ganó en cada avatar.</w:t>
      </w:r>
    </w:p>
    <w:p>
      <w:pPr>
        <w:pStyle w:val="ListParagraph"/>
        <w:numPr>
          <w:ilvl w:val="0"/>
          <w:numId w:val="2"/>
        </w:numPr>
        <w:spacing w:after="40" w:before="40"/>
      </w:pPr>
      <w:r>
        <w:rPr>
          <w:rFonts w:ascii="Arial" w:cs="Arial" w:eastAsia="Arial" w:hAnsi="Arial"/>
          <w:color w:val="2C2C2A"/>
          <w:sz w:val="22"/>
          <w:szCs w:val="22"/>
        </w:rPr>
        <w:t xml:space="preserve">Qué formato de creativo tiene menor CPM por avatar.</w:t>
      </w:r>
    </w:p>
    <w:p>
      <w:pPr>
        <w:pStyle w:val="ListParagraph"/>
        <w:numPr>
          <w:ilvl w:val="0"/>
          <w:numId w:val="2"/>
        </w:numPr>
        <w:spacing w:after="40" w:before="40"/>
      </w:pPr>
      <w:r>
        <w:rPr>
          <w:rFonts w:ascii="Arial" w:cs="Arial" w:eastAsia="Arial" w:hAnsi="Arial"/>
          <w:color w:val="2C2C2A"/>
          <w:sz w:val="22"/>
          <w:szCs w:val="22"/>
        </w:rPr>
        <w:t xml:space="preserve">Qué nivel de conciencia convierte mejor para cada deseo.</w:t>
      </w:r>
    </w:p>
    <w:p>
      <w:pPr>
        <w:pStyle w:val="ListParagraph"/>
        <w:numPr>
          <w:ilvl w:val="0"/>
          <w:numId w:val="2"/>
        </w:numPr>
        <w:spacing w:after="40" w:before="40"/>
      </w:pPr>
      <w:r>
        <w:rPr>
          <w:rFonts w:ascii="Arial" w:cs="Arial" w:eastAsia="Arial" w:hAnsi="Arial"/>
          <w:color w:val="2C2C2A"/>
          <w:sz w:val="22"/>
          <w:szCs w:val="22"/>
        </w:rPr>
        <w:t xml:space="preserve">Qué lenguaje específico genera mayor CTR.</w:t>
      </w:r>
    </w:p>
    <w:p>
      <w:pPr>
        <w:spacing w:after="60" w:before="60"/>
        <w:jc w:val="left"/>
      </w:pPr>
      <w:r>
        <w:rPr>
          <w:rFonts w:ascii="Arial" w:cs="Arial" w:eastAsia="Arial" w:hAnsi="Arial"/>
          <w:b w:val="false"/>
          <w:bCs w:val="false"/>
          <w:i w:val="false"/>
          <w:iCs w:val="false"/>
          <w:color w:val="2C2C2A"/>
          <w:sz w:val="22"/>
          <w:szCs w:val="22"/>
        </w:rPr>
        <w:t xml:space="preserve">Ese documento se convierte en la guía de copy para cualquier campaña futura — y es reutilizable para otros productos con la misma metodología.</w:t>
      </w:r>
    </w:p>
    <w:p>
      <w:r>
        <w:br w:type="page"/>
      </w:r>
    </w:p>
    <w:p>
      <w:pPr>
        <w:pStyle w:val="Heading1"/>
        <w:spacing w:after="180" w:before="360"/>
      </w:pPr>
      <w:r>
        <w:rPr>
          <w:rFonts w:ascii="Arial" w:cs="Arial" w:eastAsia="Arial" w:hAnsi="Arial"/>
          <w:b/>
          <w:bCs/>
          <w:color w:val="1F2A44"/>
          <w:sz w:val="36"/>
          <w:szCs w:val="36"/>
        </w:rPr>
        <w:t xml:space="preserve">6. Cierre: por qué este sistema funciona</w:t>
      </w:r>
    </w:p>
    <w:p>
      <w:pPr>
        <w:spacing w:after="60" w:before="60"/>
        <w:jc w:val="left"/>
      </w:pPr>
      <w:r>
        <w:rPr>
          <w:rFonts w:ascii="Arial" w:cs="Arial" w:eastAsia="Arial" w:hAnsi="Arial"/>
          <w:b w:val="false"/>
          <w:bCs w:val="false"/>
          <w:i w:val="false"/>
          <w:iCs w:val="false"/>
          <w:color w:val="2C2C2A"/>
          <w:sz w:val="22"/>
          <w:szCs w:val="22"/>
        </w:rPr>
        <w:t xml:space="preserve">La One CBO Strategy no es una técnica de optimización — es una arquitectura que se alinea con cómo realmente funciona el algoritmo de Meta en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EEDFE" w:val="clear"/>
            <w:tcMar>
              <w:top w:type="dxa" w:w="200"/>
              <w:left w:type="dxa" w:w="240"/>
              <w:bottom w:type="dxa" w:w="200"/>
              <w:right w:type="dxa" w:w="240"/>
            </w:tcMar>
          </w:tcPr>
          <w:p>
            <w:pPr>
              <w:spacing w:after="80" w:before="0"/>
            </w:pPr>
            <w:r>
              <w:rPr>
                <w:rFonts w:ascii="Arial" w:cs="Arial" w:eastAsia="Arial" w:hAnsi="Arial"/>
                <w:b/>
                <w:bCs/>
                <w:color w:val="3C3489"/>
                <w:sz w:val="24"/>
                <w:szCs w:val="24"/>
              </w:rPr>
              <w:t xml:space="preserve">Las tres ideas que hay que llevarse</w:t>
            </w:r>
          </w:p>
          <w:p>
            <w:pPr>
              <w:spacing w:after="40" w:before="40"/>
            </w:pPr>
            <w:r>
              <w:rPr>
                <w:rFonts w:ascii="Arial" w:cs="Arial" w:eastAsia="Arial" w:hAnsi="Arial"/>
                <w:color w:val="2C2C2A"/>
                <w:sz w:val="22"/>
                <w:szCs w:val="22"/>
              </w:rPr>
              <w:t xml:space="preserve">1. Una sola CBO concentra el aprendizaje. Andromeda necesita una única fuente de verdad para optimizar; fragmentar campañas le quita información.</w:t>
            </w:r>
          </w:p>
          <w:p>
            <w:pPr>
              <w:spacing w:after="40" w:before="40"/>
            </w:pPr>
            <w:r>
              <w:rPr>
                <w:rFonts w:ascii="Arial" w:cs="Arial" w:eastAsia="Arial" w:hAnsi="Arial"/>
                <w:color w:val="2C2C2A"/>
                <w:sz w:val="22"/>
                <w:szCs w:val="22"/>
              </w:rPr>
              <w:t xml:space="preserve">2. El creativo es el targeting. El copy, el hook y el formato determinan a quién llega el ad. Por eso cada batch ataca un avatar y un nivel de conciencia distinto.</w:t>
            </w:r>
          </w:p>
          <w:p>
            <w:pPr>
              <w:spacing w:after="40" w:before="40"/>
            </w:pPr>
            <w:r>
              <w:rPr>
                <w:rFonts w:ascii="Arial" w:cs="Arial" w:eastAsia="Arial" w:hAnsi="Arial"/>
                <w:color w:val="2C2C2A"/>
                <w:sz w:val="22"/>
                <w:szCs w:val="22"/>
              </w:rPr>
              <w:t xml:space="preserve">3. La diversidad sostenible vence a la optimización puntual. 15 conceptos nuevos por semana mantienen la CBO alimentada y los bolsillos de audiencia cubiertos.</w:t>
            </w:r>
          </w:p>
        </w:tc>
      </w:tr>
    </w:tbl>
    <w:p>
      <w:pPr>
        <w:spacing w:after="120" w:before="120"/>
      </w:pPr>
      <w:r>
        <w:t xml:space="preserve"/>
      </w:r>
    </w:p>
    <w:p>
      <w:pPr>
        <w:pStyle w:val="Heading2"/>
        <w:spacing w:after="140" w:before="280"/>
      </w:pPr>
      <w:r>
        <w:rPr>
          <w:rFonts w:ascii="Arial" w:cs="Arial" w:eastAsia="Arial" w:hAnsi="Arial"/>
          <w:b/>
          <w:bCs/>
          <w:color w:val="3C3489"/>
          <w:sz w:val="28"/>
          <w:szCs w:val="28"/>
        </w:rPr>
        <w:t xml:space="preserve">Decálogo operativo</w:t>
      </w:r>
    </w:p>
    <w:p>
      <w:pPr>
        <w:pStyle w:val="ListParagraph"/>
        <w:numPr>
          <w:ilvl w:val="0"/>
          <w:numId w:val="2"/>
        </w:numPr>
        <w:spacing w:after="40" w:before="40"/>
      </w:pPr>
      <w:r>
        <w:rPr>
          <w:rFonts w:ascii="Arial" w:cs="Arial" w:eastAsia="Arial" w:hAnsi="Arial"/>
          <w:color w:val="2C2C2A"/>
          <w:sz w:val="22"/>
          <w:szCs w:val="22"/>
        </w:rPr>
        <w:t xml:space="preserve">1 producto = 1 CBO.</w:t>
      </w:r>
    </w:p>
    <w:p>
      <w:pPr>
        <w:pStyle w:val="ListParagraph"/>
        <w:numPr>
          <w:ilvl w:val="0"/>
          <w:numId w:val="2"/>
        </w:numPr>
        <w:spacing w:after="40" w:before="40"/>
      </w:pPr>
      <w:r>
        <w:rPr>
          <w:rFonts w:ascii="Arial" w:cs="Arial" w:eastAsia="Arial" w:hAnsi="Arial"/>
          <w:color w:val="2C2C2A"/>
          <w:sz w:val="22"/>
          <w:szCs w:val="22"/>
        </w:rPr>
        <w:t xml:space="preserve">Targeting broad (solo país, edad si aplica, género si aplica).</w:t>
      </w:r>
    </w:p>
    <w:p>
      <w:pPr>
        <w:pStyle w:val="ListParagraph"/>
        <w:numPr>
          <w:ilvl w:val="0"/>
          <w:numId w:val="2"/>
        </w:numPr>
        <w:spacing w:after="40" w:before="40"/>
      </w:pPr>
      <w:r>
        <w:rPr>
          <w:rFonts w:ascii="Arial" w:cs="Arial" w:eastAsia="Arial" w:hAnsi="Arial"/>
          <w:color w:val="2C2C2A"/>
          <w:sz w:val="22"/>
          <w:szCs w:val="22"/>
        </w:rPr>
        <w:t xml:space="preserve">Cada Ad Set = 1 batch = 1 concepto único.</w:t>
      </w:r>
    </w:p>
    <w:p>
      <w:pPr>
        <w:pStyle w:val="ListParagraph"/>
        <w:numPr>
          <w:ilvl w:val="0"/>
          <w:numId w:val="2"/>
        </w:numPr>
        <w:spacing w:after="40" w:before="40"/>
      </w:pPr>
      <w:r>
        <w:rPr>
          <w:rFonts w:ascii="Arial" w:cs="Arial" w:eastAsia="Arial" w:hAnsi="Arial"/>
          <w:color w:val="2C2C2A"/>
          <w:sz w:val="22"/>
          <w:szCs w:val="22"/>
        </w:rPr>
        <w:t xml:space="preserve">Framework 3-1-1: 3 hooks, 1 cuerpo, 1 titular.</w:t>
      </w:r>
    </w:p>
    <w:p>
      <w:pPr>
        <w:pStyle w:val="ListParagraph"/>
        <w:numPr>
          <w:ilvl w:val="0"/>
          <w:numId w:val="2"/>
        </w:numPr>
        <w:spacing w:after="40" w:before="40"/>
      </w:pPr>
      <w:r>
        <w:rPr>
          <w:rFonts w:ascii="Arial" w:cs="Arial" w:eastAsia="Arial" w:hAnsi="Arial"/>
          <w:color w:val="2C2C2A"/>
          <w:sz w:val="22"/>
          <w:szCs w:val="22"/>
        </w:rPr>
        <w:t xml:space="preserve">15 batches base que cubren 3 avatares × 5 deseos × niveles de conciencia.</w:t>
      </w:r>
    </w:p>
    <w:p>
      <w:pPr>
        <w:pStyle w:val="ListParagraph"/>
        <w:numPr>
          <w:ilvl w:val="0"/>
          <w:numId w:val="2"/>
        </w:numPr>
        <w:spacing w:after="40" w:before="40"/>
      </w:pPr>
      <w:r>
        <w:rPr>
          <w:rFonts w:ascii="Arial" w:cs="Arial" w:eastAsia="Arial" w:hAnsi="Arial"/>
          <w:color w:val="2C2C2A"/>
          <w:sz w:val="22"/>
          <w:szCs w:val="22"/>
        </w:rPr>
        <w:t xml:space="preserve">Lanzamiento simultáneo de todos los Ad Sets.</w:t>
      </w:r>
    </w:p>
    <w:p>
      <w:pPr>
        <w:pStyle w:val="ListParagraph"/>
        <w:numPr>
          <w:ilvl w:val="0"/>
          <w:numId w:val="2"/>
        </w:numPr>
        <w:spacing w:after="40" w:before="40"/>
      </w:pPr>
      <w:r>
        <w:rPr>
          <w:rFonts w:ascii="Arial" w:cs="Arial" w:eastAsia="Arial" w:hAnsi="Arial"/>
          <w:color w:val="2C2C2A"/>
          <w:sz w:val="22"/>
          <w:szCs w:val="22"/>
        </w:rPr>
        <w:t xml:space="preserve">North Star: CPA a nivel CBO, no por Ad Set.</w:t>
      </w:r>
    </w:p>
    <w:p>
      <w:pPr>
        <w:pStyle w:val="ListParagraph"/>
        <w:numPr>
          <w:ilvl w:val="0"/>
          <w:numId w:val="2"/>
        </w:numPr>
        <w:spacing w:after="40" w:before="40"/>
      </w:pPr>
      <w:r>
        <w:rPr>
          <w:rFonts w:ascii="Arial" w:cs="Arial" w:eastAsia="Arial" w:hAnsi="Arial"/>
          <w:color w:val="2C2C2A"/>
          <w:sz w:val="22"/>
          <w:szCs w:val="22"/>
        </w:rPr>
        <w:t xml:space="preserve">Kill rules estrictas: solo se pausa con bajo gasto + CPA no rentable + 3-7 días activos.</w:t>
      </w:r>
    </w:p>
    <w:p>
      <w:pPr>
        <w:pStyle w:val="ListParagraph"/>
        <w:numPr>
          <w:ilvl w:val="0"/>
          <w:numId w:val="2"/>
        </w:numPr>
        <w:spacing w:after="40" w:before="40"/>
      </w:pPr>
      <w:r>
        <w:rPr>
          <w:rFonts w:ascii="Arial" w:cs="Arial" w:eastAsia="Arial" w:hAnsi="Arial"/>
          <w:color w:val="2C2C2A"/>
          <w:sz w:val="22"/>
          <w:szCs w:val="22"/>
        </w:rPr>
        <w:t xml:space="preserve">Iteración por mutación, nunca por edición.</w:t>
      </w:r>
    </w:p>
    <w:p>
      <w:pPr>
        <w:pStyle w:val="ListParagraph"/>
        <w:numPr>
          <w:ilvl w:val="0"/>
          <w:numId w:val="2"/>
        </w:numPr>
        <w:spacing w:after="40" w:before="40"/>
      </w:pPr>
      <w:r>
        <w:rPr>
          <w:rFonts w:ascii="Arial" w:cs="Arial" w:eastAsia="Arial" w:hAnsi="Arial"/>
          <w:color w:val="2C2C2A"/>
          <w:sz w:val="22"/>
          <w:szCs w:val="22"/>
        </w:rPr>
        <w:t xml:space="preserve">15 conceptos nuevos por semana como cuota base.</w:t>
      </w:r>
    </w:p>
    <w:p>
      <w:pPr>
        <w:spacing w:after="120" w:before="120"/>
      </w:pPr>
      <w:r>
        <w:t xml:space="preserve"/>
      </w:r>
    </w:p>
    <w:p>
      <w:pPr>
        <w:spacing w:after="120" w:before="120"/>
      </w:pPr>
      <w:r>
        <w:t xml:space="preserve"/>
      </w:r>
    </w:p>
    <w:p>
      <w:pPr>
        <w:spacing w:before="400"/>
        <w:jc w:val="center"/>
      </w:pPr>
      <w:r>
        <w:rPr>
          <w:rFonts w:ascii="Arial" w:cs="Arial" w:eastAsia="Arial" w:hAnsi="Arial"/>
          <w:i/>
          <w:iCs/>
          <w:color w:val="5F5E5A"/>
          <w:sz w:val="22"/>
          <w:szCs w:val="22"/>
        </w:rPr>
        <w:t xml:space="preserve">— Fin del resumen de clase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C348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clase - One CBO Strategy</dc:title>
  <dc:creator>Claude</dc:creator>
  <cp:lastModifiedBy>Un-named</cp:lastModifiedBy>
  <cp:revision>1</cp:revision>
  <dcterms:created xsi:type="dcterms:W3CDTF">2026-04-30T17:31:08.732Z</dcterms:created>
  <dcterms:modified xsi:type="dcterms:W3CDTF">2026-04-30T17:31:08.732Z</dcterms:modified>
</cp:coreProperties>
</file>

<file path=docProps/custom.xml><?xml version="1.0" encoding="utf-8"?>
<Properties xmlns="http://schemas.openxmlformats.org/officeDocument/2006/custom-properties" xmlns:vt="http://schemas.openxmlformats.org/officeDocument/2006/docPropsVTypes"/>
</file>